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74240" w14:textId="0A1FF3A9" w:rsidR="003B2620" w:rsidRPr="008B0735" w:rsidRDefault="003B2620" w:rsidP="003B2620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b/>
          <w:bCs/>
          <w:sz w:val="24"/>
          <w:szCs w:val="24"/>
          <w:lang w:val="es-MX"/>
        </w:rPr>
        <w:t>Nombre</w:t>
      </w:r>
      <w:r w:rsidRPr="008B0735">
        <w:rPr>
          <w:rFonts w:ascii="Times New Roman" w:hAnsi="Times New Roman" w:cs="Times New Roman"/>
          <w:sz w:val="24"/>
          <w:szCs w:val="24"/>
          <w:lang w:val="es-MX"/>
        </w:rPr>
        <w:t>: Juan Camilo Bolaños García</w:t>
      </w:r>
      <w:r w:rsidRPr="008B0735">
        <w:rPr>
          <w:rFonts w:ascii="Times New Roman" w:hAnsi="Times New Roman" w:cs="Times New Roman"/>
          <w:sz w:val="24"/>
          <w:szCs w:val="24"/>
          <w:lang w:val="es-MX"/>
        </w:rPr>
        <w:br/>
      </w:r>
      <w:r w:rsidRPr="008B0735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Clase: </w:t>
      </w:r>
      <w:r w:rsidRPr="008B0735">
        <w:rPr>
          <w:rFonts w:ascii="Times New Roman" w:hAnsi="Times New Roman" w:cs="Times New Roman"/>
          <w:sz w:val="24"/>
          <w:szCs w:val="24"/>
          <w:lang w:val="es-MX"/>
        </w:rPr>
        <w:t xml:space="preserve">Animación 2D, martes 3:00 – 6:00 p.m. </w:t>
      </w:r>
    </w:p>
    <w:p w14:paraId="3D147E3E" w14:textId="77777777" w:rsidR="003B2620" w:rsidRPr="008B0735" w:rsidRDefault="003B2620" w:rsidP="008650FE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55FC4FAC" w14:textId="7CC56DDC" w:rsidR="00EF6783" w:rsidRPr="008B0735" w:rsidRDefault="008650FE" w:rsidP="008650F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b/>
          <w:bCs/>
          <w:sz w:val="24"/>
          <w:szCs w:val="24"/>
          <w:lang w:val="es-MX"/>
        </w:rPr>
        <w:t>Guía de análisis previo</w:t>
      </w:r>
    </w:p>
    <w:p w14:paraId="0FBBEBD8" w14:textId="3753687A" w:rsidR="008650FE" w:rsidRPr="008B0735" w:rsidRDefault="008650FE" w:rsidP="008650FE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15DBF434" w14:textId="0BE3E64D" w:rsidR="008650FE" w:rsidRPr="00A4538C" w:rsidRDefault="008650FE" w:rsidP="008650FE">
      <w:pPr>
        <w:rPr>
          <w:rFonts w:ascii="Times New Roman" w:hAnsi="Times New Roman" w:cs="Times New Roman"/>
          <w:sz w:val="24"/>
          <w:szCs w:val="24"/>
          <w:lang w:val="es-CO"/>
        </w:rPr>
      </w:pPr>
      <w:r w:rsidRPr="00A4538C">
        <w:rPr>
          <w:rFonts w:ascii="Times New Roman" w:hAnsi="Times New Roman" w:cs="Times New Roman"/>
          <w:b/>
          <w:bCs/>
          <w:sz w:val="24"/>
          <w:szCs w:val="24"/>
          <w:lang w:val="es-CO"/>
        </w:rPr>
        <w:t xml:space="preserve">Nombre del material: </w:t>
      </w:r>
      <w:proofErr w:type="spellStart"/>
      <w:r w:rsidR="00A4538C" w:rsidRPr="00A4538C">
        <w:rPr>
          <w:rFonts w:ascii="Times New Roman" w:hAnsi="Times New Roman" w:cs="Times New Roman"/>
          <w:sz w:val="24"/>
          <w:szCs w:val="24"/>
          <w:lang w:val="es-CO"/>
        </w:rPr>
        <w:t>Fanta</w:t>
      </w:r>
      <w:r w:rsidR="00A4538C">
        <w:rPr>
          <w:rFonts w:ascii="Times New Roman" w:hAnsi="Times New Roman" w:cs="Times New Roman"/>
          <w:sz w:val="24"/>
          <w:szCs w:val="24"/>
          <w:lang w:val="es-CO"/>
        </w:rPr>
        <w:t>smagorie</w:t>
      </w:r>
      <w:proofErr w:type="spellEnd"/>
      <w:r w:rsidR="00A4538C">
        <w:rPr>
          <w:rFonts w:ascii="Times New Roman" w:hAnsi="Times New Roman" w:cs="Times New Roman"/>
          <w:sz w:val="24"/>
          <w:szCs w:val="24"/>
          <w:lang w:val="es-CO"/>
        </w:rPr>
        <w:t xml:space="preserve"> (1908) por Émile </w:t>
      </w:r>
      <w:proofErr w:type="spellStart"/>
      <w:r w:rsidR="00A4538C">
        <w:rPr>
          <w:rFonts w:ascii="Times New Roman" w:hAnsi="Times New Roman" w:cs="Times New Roman"/>
          <w:sz w:val="24"/>
          <w:szCs w:val="24"/>
          <w:lang w:val="es-CO"/>
        </w:rPr>
        <w:t>Cohl</w:t>
      </w:r>
      <w:proofErr w:type="spellEnd"/>
    </w:p>
    <w:p w14:paraId="5655E1F0" w14:textId="5CCB888C" w:rsidR="008650FE" w:rsidRPr="008B0735" w:rsidRDefault="008650FE" w:rsidP="008650FE">
      <w:p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8B0735">
        <w:rPr>
          <w:rFonts w:ascii="Times New Roman" w:hAnsi="Times New Roman" w:cs="Times New Roman"/>
          <w:b/>
          <w:bCs/>
          <w:sz w:val="24"/>
          <w:szCs w:val="24"/>
          <w:lang w:val="es-MX"/>
        </w:rPr>
        <w:t>Logline</w:t>
      </w:r>
      <w:proofErr w:type="spellEnd"/>
      <w:r w:rsidRPr="008B0735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del material: </w:t>
      </w:r>
      <w:r w:rsidRPr="008B0735">
        <w:rPr>
          <w:rFonts w:ascii="Times New Roman" w:hAnsi="Times New Roman" w:cs="Times New Roman"/>
          <w:sz w:val="24"/>
          <w:szCs w:val="24"/>
          <w:lang w:val="es-MX"/>
        </w:rPr>
        <w:t xml:space="preserve">un </w:t>
      </w:r>
      <w:r w:rsidR="00A4538C">
        <w:rPr>
          <w:rFonts w:ascii="Times New Roman" w:hAnsi="Times New Roman" w:cs="Times New Roman"/>
          <w:sz w:val="24"/>
          <w:szCs w:val="24"/>
          <w:lang w:val="es-MX"/>
        </w:rPr>
        <w:t>payaso</w:t>
      </w:r>
      <w:r w:rsidRPr="008B073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="00C77B9B">
        <w:rPr>
          <w:rFonts w:ascii="Times New Roman" w:hAnsi="Times New Roman" w:cs="Times New Roman"/>
          <w:sz w:val="24"/>
          <w:szCs w:val="24"/>
          <w:lang w:val="es-MX"/>
        </w:rPr>
        <w:t>es dibujado por un dibujante, el cual lo ubica a lo largo de todos los dibujos que ha hecho. Lo anterior con el fin de observar cómo su nuevo dibujo interactúa con los anteriores.</w:t>
      </w:r>
    </w:p>
    <w:p w14:paraId="0ADAD1A2" w14:textId="1A849DDE" w:rsidR="008650FE" w:rsidRPr="008B0735" w:rsidRDefault="008650FE" w:rsidP="008650FE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Principales componentes del contenido: </w:t>
      </w:r>
    </w:p>
    <w:p w14:paraId="6CA91FB1" w14:textId="5C7E053D" w:rsidR="008650FE" w:rsidRPr="008B0735" w:rsidRDefault="00A4538C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Rompimiento de la cuarta pared</w:t>
      </w:r>
    </w:p>
    <w:p w14:paraId="52C955D3" w14:textId="56B50C35" w:rsidR="008650FE" w:rsidRPr="008B0735" w:rsidRDefault="00A4538C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El personaje principal</w:t>
      </w:r>
    </w:p>
    <w:p w14:paraId="00640289" w14:textId="3C00D744" w:rsidR="008650FE" w:rsidRPr="008B0735" w:rsidRDefault="008650FE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>La trama</w:t>
      </w:r>
    </w:p>
    <w:p w14:paraId="074F15F6" w14:textId="0E4D839F" w:rsidR="008650FE" w:rsidRPr="008B0735" w:rsidRDefault="008650FE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>La expresión de los personajes</w:t>
      </w:r>
    </w:p>
    <w:p w14:paraId="4EBF1A57" w14:textId="1D1A1E81" w:rsidR="008650FE" w:rsidRPr="008B0735" w:rsidRDefault="008650FE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>La música</w:t>
      </w:r>
    </w:p>
    <w:p w14:paraId="0E10F623" w14:textId="56C63D91" w:rsidR="008650FE" w:rsidRPr="008B0735" w:rsidRDefault="008650FE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>L</w:t>
      </w:r>
      <w:r w:rsidR="00A4538C">
        <w:rPr>
          <w:rFonts w:ascii="Times New Roman" w:hAnsi="Times New Roman" w:cs="Times New Roman"/>
          <w:sz w:val="24"/>
          <w:szCs w:val="24"/>
          <w:lang w:val="es-MX"/>
        </w:rPr>
        <w:t>as técnicas de animación</w:t>
      </w:r>
    </w:p>
    <w:p w14:paraId="094244DD" w14:textId="577F12AD" w:rsidR="008650FE" w:rsidRPr="008B0735" w:rsidRDefault="008650FE" w:rsidP="008650FE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b/>
          <w:bCs/>
          <w:sz w:val="24"/>
          <w:szCs w:val="24"/>
          <w:lang w:val="es-MX"/>
        </w:rPr>
        <w:t>Rutas técnicas para abordar los componentes de los contenidos:</w:t>
      </w:r>
    </w:p>
    <w:p w14:paraId="40FC6C7C" w14:textId="04B60EDC" w:rsidR="008650FE" w:rsidRPr="008B0735" w:rsidRDefault="00A4538C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Romper la cuarta pared hace que la obra sea aún más impresionante para el lector, debido a que se presenta algo ajeno al mundo animado.</w:t>
      </w:r>
    </w:p>
    <w:p w14:paraId="2387AF8E" w14:textId="79EC815D" w:rsidR="008650FE" w:rsidRPr="008B0735" w:rsidRDefault="00A4538C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El personaje principal es aquel que está presente a lo largo de todo el cortometraje, por lo cual es el hilo conductor de la historia.</w:t>
      </w:r>
    </w:p>
    <w:p w14:paraId="33278666" w14:textId="5191E4D1" w:rsidR="008650FE" w:rsidRPr="008B0735" w:rsidRDefault="008650FE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 xml:space="preserve">La trama </w:t>
      </w:r>
      <w:r w:rsidR="00A4538C">
        <w:rPr>
          <w:rFonts w:ascii="Times New Roman" w:hAnsi="Times New Roman" w:cs="Times New Roman"/>
          <w:sz w:val="24"/>
          <w:szCs w:val="24"/>
          <w:lang w:val="es-MX"/>
        </w:rPr>
        <w:t>como tal no es clara, lo cual permite que el espectador haga sus propias conclusiones acerca de lo que acaba de observar.</w:t>
      </w:r>
    </w:p>
    <w:p w14:paraId="18B91562" w14:textId="215189AE" w:rsidR="008650FE" w:rsidRDefault="00A4538C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La expresión de los personajes permite al espectador conocer las emociones de los personajes, a pesar de que estos no tengan rasgos detallados.</w:t>
      </w:r>
    </w:p>
    <w:p w14:paraId="501BA011" w14:textId="26B0609D" w:rsidR="00A4538C" w:rsidRPr="008B0735" w:rsidRDefault="00A4538C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La música es utilizada para organizar las escenas, debido a que está cambia junto a las antes mencionadas.</w:t>
      </w:r>
    </w:p>
    <w:p w14:paraId="0C2F71DC" w14:textId="796A043F" w:rsidR="008650FE" w:rsidRPr="008B0735" w:rsidRDefault="00A4538C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>Las técnicas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permiten darle más dinamismo a la obra, a causa de que se puede realizar cambios de escena de forma fluida y coherente con el mundo dibujado.</w:t>
      </w:r>
    </w:p>
    <w:p w14:paraId="6EFCF213" w14:textId="640C315A" w:rsidR="003B2620" w:rsidRPr="008B0735" w:rsidRDefault="003B2620" w:rsidP="003B2620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b/>
          <w:bCs/>
          <w:sz w:val="24"/>
          <w:szCs w:val="24"/>
          <w:lang w:val="es-MX"/>
        </w:rPr>
        <w:t>Referencias para la propuesta anterior:</w:t>
      </w:r>
    </w:p>
    <w:p w14:paraId="71BB206C" w14:textId="51BE97C3" w:rsidR="007E7057" w:rsidRPr="008B0735" w:rsidRDefault="007E7057" w:rsidP="003B262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Flipbook</w:t>
      </w:r>
      <w:proofErr w:type="spellEnd"/>
    </w:p>
    <w:p w14:paraId="49D6530D" w14:textId="03BC2302" w:rsidR="003B2620" w:rsidRPr="007E7057" w:rsidRDefault="007E7057" w:rsidP="007E705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Mickey Mouse</w:t>
      </w:r>
    </w:p>
    <w:p w14:paraId="7AFC4BAA" w14:textId="39D693C1" w:rsidR="003B2620" w:rsidRPr="008B0735" w:rsidRDefault="007E7057" w:rsidP="003B262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La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Toonforce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de los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Looney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Tunes </w:t>
      </w:r>
    </w:p>
    <w:p w14:paraId="69ABE2DE" w14:textId="3D03928F" w:rsidR="00CC2A79" w:rsidRPr="008B0735" w:rsidRDefault="007E7057" w:rsidP="003B262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Las animaciones de Alan Becker</w:t>
      </w:r>
    </w:p>
    <w:p w14:paraId="7143BDB9" w14:textId="77EF17D2" w:rsidR="003B2620" w:rsidRDefault="007E7057" w:rsidP="003B262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El Increíble Mundo de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Gumbal</w:t>
      </w:r>
      <w:proofErr w:type="spellEnd"/>
    </w:p>
    <w:p w14:paraId="2A71C2C9" w14:textId="28E0C246" w:rsidR="007E7057" w:rsidRDefault="007E7057" w:rsidP="003B262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El taumatropo </w:t>
      </w:r>
    </w:p>
    <w:p w14:paraId="32B506B3" w14:textId="4B99300B" w:rsidR="007E7057" w:rsidRDefault="007E7057" w:rsidP="003B262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El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zoopraxiscopio</w:t>
      </w:r>
      <w:proofErr w:type="spellEnd"/>
    </w:p>
    <w:p w14:paraId="2466614B" w14:textId="4A3AEF78" w:rsidR="00C77B9B" w:rsidRPr="00C77B9B" w:rsidRDefault="00C77B9B" w:rsidP="00C77B9B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Pintura rupestre </w:t>
      </w:r>
    </w:p>
    <w:p w14:paraId="262ADA81" w14:textId="52019ED7" w:rsidR="00C77B9B" w:rsidRDefault="00C77B9B" w:rsidP="003B262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Bob Esponja</w:t>
      </w:r>
    </w:p>
    <w:p w14:paraId="23378C8D" w14:textId="77777777" w:rsidR="00C77B9B" w:rsidRDefault="00C77B9B" w:rsidP="00C77B9B">
      <w:pPr>
        <w:pStyle w:val="Prrafodelista"/>
        <w:rPr>
          <w:rFonts w:ascii="Times New Roman" w:hAnsi="Times New Roman" w:cs="Times New Roman"/>
          <w:sz w:val="24"/>
          <w:szCs w:val="24"/>
          <w:lang w:val="es-MX"/>
        </w:rPr>
      </w:pPr>
    </w:p>
    <w:p w14:paraId="45913A01" w14:textId="77777777" w:rsidR="007E7057" w:rsidRPr="008B0735" w:rsidRDefault="007E7057" w:rsidP="007E7057">
      <w:pPr>
        <w:pStyle w:val="Prrafodelista"/>
        <w:rPr>
          <w:rFonts w:ascii="Times New Roman" w:hAnsi="Times New Roman" w:cs="Times New Roman"/>
          <w:sz w:val="24"/>
          <w:szCs w:val="24"/>
          <w:lang w:val="es-MX"/>
        </w:rPr>
      </w:pPr>
    </w:p>
    <w:p w14:paraId="28BD316A" w14:textId="7B1679F4" w:rsidR="00CC2A79" w:rsidRPr="003B2620" w:rsidRDefault="00C77B9B" w:rsidP="00CC2A79">
      <w:pPr>
        <w:pStyle w:val="Prrafodelista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28518937" wp14:editId="690257A5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A79" w:rsidRPr="003B262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A55FF8"/>
    <w:multiLevelType w:val="hybridMultilevel"/>
    <w:tmpl w:val="FA84223A"/>
    <w:lvl w:ilvl="0" w:tplc="1F2A000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5538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783"/>
    <w:rsid w:val="003B2620"/>
    <w:rsid w:val="005B5B92"/>
    <w:rsid w:val="0065540F"/>
    <w:rsid w:val="00724C7D"/>
    <w:rsid w:val="007E7057"/>
    <w:rsid w:val="00811D68"/>
    <w:rsid w:val="008650FE"/>
    <w:rsid w:val="008B0735"/>
    <w:rsid w:val="008E76CB"/>
    <w:rsid w:val="00A02123"/>
    <w:rsid w:val="00A4538C"/>
    <w:rsid w:val="00BB0575"/>
    <w:rsid w:val="00C77B9B"/>
    <w:rsid w:val="00CC2A79"/>
    <w:rsid w:val="00E7105F"/>
    <w:rsid w:val="00EF6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32DE0"/>
  <w15:chartTrackingRefBased/>
  <w15:docId w15:val="{62350AA9-C908-431F-A112-90ECEAA1E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e-D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50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252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Bolaños Garcia</dc:creator>
  <cp:keywords/>
  <dc:description/>
  <cp:lastModifiedBy>Juan Camilo Bolaños Garcia</cp:lastModifiedBy>
  <cp:revision>2</cp:revision>
  <dcterms:created xsi:type="dcterms:W3CDTF">2023-01-31T16:19:00Z</dcterms:created>
  <dcterms:modified xsi:type="dcterms:W3CDTF">2023-01-31T18:51:00Z</dcterms:modified>
</cp:coreProperties>
</file>