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PRETEXTUDA · Manual de marca</w:t>
      </w:r>
    </w:p>
    <w:p/>
    <w:p/>
    <w:p>
      <w:pPr>
        <w:pStyle w:val="Heading1"/>
      </w:pPr>
      <w:r>
        <w:t>Esencia</w:t>
      </w:r>
    </w:p>
    <w:p>
      <w:r>
        <w:t>Preguntas que te mueven. Marca de Aisse para conversaciones de eneagrama, workshops sobre problemas concretos y lecturas individuales con informe. Colombia; nombre base confirmado, identidad propuesta para revisión.</w:t>
      </w:r>
    </w:p>
    <w:p>
      <w:pPr>
        <w:pStyle w:val="Heading1"/>
      </w:pPr>
      <w:r>
        <w:t>Voz</w:t>
      </w:r>
    </w:p>
    <w:p>
      <w:r>
        <w:t>Cercana, directa, curiosa y con carácter. “Lo que repites merece una pregunta”. Hablar de prácticas y posibilidades, no de diagnósticos clínicos ni resultados garantizados. No asignar tipos a personas por comentarios o videos.</w:t>
      </w:r>
    </w:p>
    <w:p>
      <w:pPr>
        <w:pStyle w:val="Heading1"/>
      </w:pPr>
      <w:r>
        <w:t>Diseño</w:t>
      </w:r>
    </w:p>
    <w:p>
      <w:r>
        <w:t>Marfil #FAF6EF; ciruela #452B43; coral #C86853; salvia #788675; dorado #D6B77A. Texto y botones principales en ciruela. Georgia para títulos; Arial/sistema para web; DejaVu Sans en diseños exportados. Nueve puntos y un centro abierto: una propuesta visual original.</w:t>
      </w:r>
    </w:p>
    <w:p>
      <w:pPr>
        <w:pStyle w:val="Heading1"/>
      </w:pPr>
      <w:r>
        <w:t>Redes</w:t>
      </w:r>
    </w:p>
    <w:p>
      <w:r>
        <w:t>Nombre visible: Pretextuda | Eneagrama con Aisse.</w:t>
      </w:r>
    </w:p>
    <w:p>
      <w:r>
        <w:t>Bio: Preguntas que te mueven. / Workshops + lectura con informe. / Próximo encuentro ↓</w:t>
      </w:r>
    </w:p>
    <w:p>
      <w:r>
        <w:t>Destacadas: Empieza · Aisse · Workshop · Lecturas · Preguntas · Opiniones reales.</w:t>
      </w:r>
    </w:p>
    <w:p>
      <w:r>
        <w:t>El usuario @pretextuda y las alternativas requieren comprobar disponibilidad. No hay cuentas creadas.</w:t>
      </w:r>
    </w:p>
    <w:p>
      <w:pPr>
        <w:pStyle w:val="Heading1"/>
      </w:pPr>
      <w:r>
        <w:t>Mensaje comercial</w:t>
      </w:r>
    </w:p>
    <w:p>
      <w:r>
        <w:t>Entrada: workshop de dos horas por US$27. Continuidad: lectura individual con informe por US$70. Antes de activar ventas, confirmar fecha, alcance, condiciones y precio total COP si se ofrece esa moneda.</w:t>
      </w:r>
    </w:p>
    <w:p>
      <w:pPr>
        <w:pStyle w:val="Heading1"/>
      </w:pPr>
      <w:r>
        <w:t>Fotografías y confianza</w:t>
      </w:r>
    </w:p>
    <w:p>
      <w:r>
        <w:t>Usar retrato y presentación auténticos de Aisse. Incorporar su formación solo si es verificable. No inventar testimonios ni imágenes de clientes. La identidad necesita revisión final de Aisse.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