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Producción por lotes</w:t>
      </w:r>
    </w:p>
    <w:p/>
    <w:p/>
    <w:p>
      <w:pPr>
        <w:pStyle w:val="Heading1"/>
      </w:pPr>
      <w:r>
        <w:t>Sesión de grabación de 90 minutos</w:t>
      </w:r>
    </w:p>
    <w:p>
      <w:r>
        <w:t>15 min preparar luz, fondo y audio. 15 min ensayar cuatro guiones. 40 min grabar dos tomas por guion. 20 min revisar, elegir y ordenar archivos. No necesita hacerse todo en un día.</w:t>
      </w:r>
    </w:p>
    <w:p>
      <w:r>
        <w:t>Vertical 1080×1920, 30 fps, subtítulos revisados. Mantener textos lejos de bordes y controles; comprobar previsualización en cada app. No usar música sin licencia; elegir biblioteca autorizada para el tipo de cuenta y anuncio.</w:t>
      </w:r>
    </w:p>
    <w:p>
      <w:pPr>
        <w:pStyle w:val="Heading1"/>
      </w:pPr>
      <w:r>
        <w:t>Edición</w:t>
      </w:r>
    </w:p>
    <w:p>
      <w:r>
        <w:t>Gancho visible desde el primer segundo, una idea, cortes sencillos, subtítulos y CTA único. Portada con cuatro a siete palabras. Exportar sin marcas de agua. Guardar originales, proyectos y exportados en carpetas por fecha.</w:t>
      </w:r>
    </w:p>
    <w:p>
      <w:pPr>
        <w:pStyle w:val="Heading1"/>
      </w:pPr>
      <w:r>
        <w:t>Publicación</w:t>
      </w:r>
    </w:p>
    <w:p>
      <w:r>
        <w:t>Subir el archivo limpio a cada red, ajustar descripción y revisar enlaces. Elegir horarios según actividad real tras dos semanas; no afirmar una hora universal. Registrar fecha, tema, vistas, guardados, clics y preguntas. No comprar seguidores ni automatizar comentarios.</w:t>
      </w:r>
    </w:p>
    <w:p>
      <w:pPr>
        <w:pStyle w:val="Heading1"/>
      </w:pPr>
      <w:r>
        <w:t>Qué falta grabar</w:t>
      </w:r>
    </w:p>
    <w:p>
      <w:r>
        <w:t>Los guiones, diseños y portadas están preparados; los videos finales requieren voz o aparición real de Aisse y su aprobación. No simular su testimonio o identidad.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