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Uso y edición de diseños</w:t>
      </w:r>
    </w:p>
    <w:p/>
    <w:p/>
    <w:p>
      <w:r>
        <w:t>SVG: logos editables en Figma, Illustrator o Inkscape; no requieren imágenes externas. PNG: avatar, 16 portadas verticales y cuatro carruseles de seis diapositivas a 1080×1350. Tipografía de los PNG: DejaVu Sans; los SVG usan fuentes del sistema. Son propuestas listas para revisión editorial de Aisse.</w:t>
      </w:r>
    </w:p>
    <w:p>
      <w:r>
        <w:t>Se incluyen PDFs de texto de carruseles para referencia, no como reemplazo de las imágenes. Subir las diapositivas en orden. Revisar visualización dentro de cada plataforma antes de publicar. Los videos necesitan grabación y edición; las portadas no son videos.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