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554428004"/>
        <w:docPartObj>
          <w:docPartGallery w:val="Cover Pages"/>
          <w:docPartUnique/>
        </w:docPartObj>
      </w:sdtPr>
      <w:sdtEndPr>
        <w:rPr>
          <w:rFonts w:ascii="Arial" w:hAnsi="Arial" w:cs="Arial"/>
          <w:lang w:val="es-ES"/>
        </w:rPr>
      </w:sdtEndPr>
      <w:sdtContent>
        <w:p w14:paraId="6AAECD53" w14:textId="1974BBC1" w:rsidR="009D0A5D" w:rsidRDefault="009D0A5D">
          <w:r>
            <w:rPr>
              <w:noProof/>
            </w:rPr>
            <mc:AlternateContent>
              <mc:Choice Requires="wpg">
                <w:drawing>
                  <wp:anchor distT="0" distB="0" distL="114300" distR="114300" simplePos="0" relativeHeight="251662336" behindDoc="0" locked="0" layoutInCell="1" allowOverlap="1" wp14:anchorId="4F07DCD7" wp14:editId="7BB00F5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0AF177A"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C48E095" wp14:editId="6334217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66316" w14:textId="1557DC59" w:rsidR="009D0A5D" w:rsidRDefault="009D0A5D">
                                <w:pPr>
                                  <w:pStyle w:val="Sinespaciado"/>
                                  <w:jc w:val="right"/>
                                  <w:rPr>
                                    <w:color w:val="595959" w:themeColor="text1" w:themeTint="A6"/>
                                    <w:sz w:val="28"/>
                                    <w:szCs w:val="2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C48E095"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p w14:paraId="50C66316" w14:textId="1557DC59" w:rsidR="009D0A5D" w:rsidRDefault="009D0A5D">
                          <w:pPr>
                            <w:pStyle w:val="Sinespaciado"/>
                            <w:jc w:val="right"/>
                            <w:rPr>
                              <w:color w:val="595959" w:themeColor="text1" w:themeTint="A6"/>
                              <w:sz w:val="28"/>
                              <w:szCs w:val="2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2A6B01C" wp14:editId="2FBF00A9">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F983BD" w14:textId="77777777" w:rsidR="009D0A5D" w:rsidRPr="007979ED" w:rsidRDefault="009D0A5D">
                                <w:pPr>
                                  <w:pStyle w:val="Sinespaciado"/>
                                  <w:jc w:val="right"/>
                                  <w:rPr>
                                    <w:rFonts w:ascii="Arial" w:hAnsi="Arial" w:cs="Arial"/>
                                    <w:color w:val="4472C4" w:themeColor="accent1"/>
                                    <w:sz w:val="24"/>
                                    <w:szCs w:val="28"/>
                                  </w:rPr>
                                </w:pPr>
                                <w:r w:rsidRPr="007979ED">
                                  <w:rPr>
                                    <w:rFonts w:ascii="Arial" w:hAnsi="Arial" w:cs="Arial"/>
                                    <w:color w:val="4472C4" w:themeColor="accent1"/>
                                    <w:sz w:val="24"/>
                                    <w:szCs w:val="28"/>
                                    <w:lang w:val="es-ES"/>
                                  </w:rPr>
                                  <w:t>Descripción breve</w:t>
                                </w:r>
                              </w:p>
                              <w:sdt>
                                <w:sdtPr>
                                  <w:rPr>
                                    <w:rFonts w:ascii="Arial" w:hAnsi="Arial" w:cs="Arial"/>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7A3FAEE4" w14:textId="4FDC7104" w:rsidR="009D0A5D" w:rsidRPr="007979ED" w:rsidRDefault="007979ED" w:rsidP="007979ED">
                                    <w:pPr>
                                      <w:pStyle w:val="Sinespaciado"/>
                                      <w:jc w:val="right"/>
                                      <w:rPr>
                                        <w:rFonts w:ascii="Arial" w:hAnsi="Arial" w:cs="Arial"/>
                                        <w:color w:val="595959" w:themeColor="text1" w:themeTint="A6"/>
                                        <w:sz w:val="20"/>
                                        <w:szCs w:val="20"/>
                                      </w:rPr>
                                    </w:pPr>
                                    <w:r w:rsidRPr="007979ED">
                                      <w:rPr>
                                        <w:rFonts w:ascii="Arial" w:hAnsi="Arial" w:cs="Arial"/>
                                        <w:color w:val="595959" w:themeColor="text1" w:themeTint="A6"/>
                                        <w:sz w:val="20"/>
                                        <w:szCs w:val="20"/>
                                      </w:rPr>
                                      <w:t>Diseño y evaluación de un portafolio de inversión de tres activos mediante optimización media-varianza y estrategias de cobertura con opciones.</w:t>
                                    </w:r>
                                    <w:r w:rsidRPr="007979ED">
                                      <w:rPr>
                                        <w:rFonts w:ascii="Arial" w:hAnsi="Arial" w:cs="Arial"/>
                                        <w:color w:val="595959" w:themeColor="text1" w:themeTint="A6"/>
                                        <w:sz w:val="20"/>
                                        <w:szCs w:val="20"/>
                                      </w:rPr>
                                      <w:br/>
                                    </w:r>
                                    <w:r w:rsidRPr="007979ED">
                                      <w:rPr>
                                        <w:rFonts w:ascii="Arial" w:hAnsi="Arial" w:cs="Arial"/>
                                        <w:color w:val="595959" w:themeColor="text1" w:themeTint="A6"/>
                                        <w:sz w:val="20"/>
                                        <w:szCs w:val="20"/>
                                      </w:rPr>
                                      <w:t>Análisis de riesgo, valoración, simulación y eficiencia de las coberturas para un horizonte de inversión de dos años.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2A6B01C"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37F983BD" w14:textId="77777777" w:rsidR="009D0A5D" w:rsidRPr="007979ED" w:rsidRDefault="009D0A5D">
                          <w:pPr>
                            <w:pStyle w:val="Sinespaciado"/>
                            <w:jc w:val="right"/>
                            <w:rPr>
                              <w:rFonts w:ascii="Arial" w:hAnsi="Arial" w:cs="Arial"/>
                              <w:color w:val="4472C4" w:themeColor="accent1"/>
                              <w:sz w:val="24"/>
                              <w:szCs w:val="28"/>
                            </w:rPr>
                          </w:pPr>
                          <w:r w:rsidRPr="007979ED">
                            <w:rPr>
                              <w:rFonts w:ascii="Arial" w:hAnsi="Arial" w:cs="Arial"/>
                              <w:color w:val="4472C4" w:themeColor="accent1"/>
                              <w:sz w:val="24"/>
                              <w:szCs w:val="28"/>
                              <w:lang w:val="es-ES"/>
                            </w:rPr>
                            <w:t>Descripción breve</w:t>
                          </w:r>
                        </w:p>
                        <w:sdt>
                          <w:sdtPr>
                            <w:rPr>
                              <w:rFonts w:ascii="Arial" w:hAnsi="Arial" w:cs="Arial"/>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7A3FAEE4" w14:textId="4FDC7104" w:rsidR="009D0A5D" w:rsidRPr="007979ED" w:rsidRDefault="007979ED" w:rsidP="007979ED">
                              <w:pPr>
                                <w:pStyle w:val="Sinespaciado"/>
                                <w:jc w:val="right"/>
                                <w:rPr>
                                  <w:rFonts w:ascii="Arial" w:hAnsi="Arial" w:cs="Arial"/>
                                  <w:color w:val="595959" w:themeColor="text1" w:themeTint="A6"/>
                                  <w:sz w:val="20"/>
                                  <w:szCs w:val="20"/>
                                </w:rPr>
                              </w:pPr>
                              <w:r w:rsidRPr="007979ED">
                                <w:rPr>
                                  <w:rFonts w:ascii="Arial" w:hAnsi="Arial" w:cs="Arial"/>
                                  <w:color w:val="595959" w:themeColor="text1" w:themeTint="A6"/>
                                  <w:sz w:val="20"/>
                                  <w:szCs w:val="20"/>
                                </w:rPr>
                                <w:t>Diseño y evaluación de un portafolio de inversión de tres activos mediante optimización media-varianza y estrategias de cobertura con opciones.</w:t>
                              </w:r>
                              <w:r w:rsidRPr="007979ED">
                                <w:rPr>
                                  <w:rFonts w:ascii="Arial" w:hAnsi="Arial" w:cs="Arial"/>
                                  <w:color w:val="595959" w:themeColor="text1" w:themeTint="A6"/>
                                  <w:sz w:val="20"/>
                                  <w:szCs w:val="20"/>
                                </w:rPr>
                                <w:br/>
                              </w:r>
                              <w:r w:rsidRPr="007979ED">
                                <w:rPr>
                                  <w:rFonts w:ascii="Arial" w:hAnsi="Arial" w:cs="Arial"/>
                                  <w:color w:val="595959" w:themeColor="text1" w:themeTint="A6"/>
                                  <w:sz w:val="20"/>
                                  <w:szCs w:val="20"/>
                                </w:rPr>
                                <w:t>Análisis de riesgo, valoración, simulación y eficiencia de las coberturas para un horizonte de inversión de dos años.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D891FBF" wp14:editId="2093BFC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6CC84" w14:textId="1F71C455" w:rsidR="009D0A5D" w:rsidRPr="009D0A5D" w:rsidRDefault="009D0A5D">
                                <w:pPr>
                                  <w:jc w:val="right"/>
                                  <w:rPr>
                                    <w:rFonts w:ascii="Arial" w:hAnsi="Arial" w:cs="Arial"/>
                                    <w:color w:val="4472C4" w:themeColor="accent1"/>
                                    <w:sz w:val="28"/>
                                    <w:szCs w:val="28"/>
                                  </w:rPr>
                                </w:pPr>
                                <w:sdt>
                                  <w:sdtPr>
                                    <w:rPr>
                                      <w:rFonts w:ascii="Arial" w:hAnsi="Arial" w:cs="Arial"/>
                                      <w:caps/>
                                      <w:color w:val="4472C4" w:themeColor="accent1"/>
                                      <w:sz w:val="28"/>
                                      <w:szCs w:val="28"/>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D0A5D">
                                      <w:rPr>
                                        <w:rFonts w:ascii="Arial" w:hAnsi="Arial" w:cs="Arial"/>
                                        <w:caps/>
                                        <w:color w:val="4472C4" w:themeColor="accent1"/>
                                        <w:sz w:val="28"/>
                                        <w:szCs w:val="28"/>
                                      </w:rPr>
                                      <w:t>INFORME EJECUTIVO – LABORATORIO DE DERIVADOS FINANCIEROS</w:t>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1B0C54A" w14:textId="60FBC03B" w:rsidR="009D0A5D" w:rsidRDefault="009D0A5D">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D891FBF"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4C16CC84" w14:textId="1F71C455" w:rsidR="009D0A5D" w:rsidRPr="009D0A5D" w:rsidRDefault="009D0A5D">
                          <w:pPr>
                            <w:jc w:val="right"/>
                            <w:rPr>
                              <w:rFonts w:ascii="Arial" w:hAnsi="Arial" w:cs="Arial"/>
                              <w:color w:val="4472C4" w:themeColor="accent1"/>
                              <w:sz w:val="28"/>
                              <w:szCs w:val="28"/>
                            </w:rPr>
                          </w:pPr>
                          <w:sdt>
                            <w:sdtPr>
                              <w:rPr>
                                <w:rFonts w:ascii="Arial" w:hAnsi="Arial" w:cs="Arial"/>
                                <w:caps/>
                                <w:color w:val="4472C4" w:themeColor="accent1"/>
                                <w:sz w:val="28"/>
                                <w:szCs w:val="28"/>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D0A5D">
                                <w:rPr>
                                  <w:rFonts w:ascii="Arial" w:hAnsi="Arial" w:cs="Arial"/>
                                  <w:caps/>
                                  <w:color w:val="4472C4" w:themeColor="accent1"/>
                                  <w:sz w:val="28"/>
                                  <w:szCs w:val="28"/>
                                </w:rPr>
                                <w:t>INFORME EJECUTIVO – LABORATORIO DE DERIVADOS FINANCIEROS</w:t>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1B0C54A" w14:textId="60FBC03B" w:rsidR="009D0A5D" w:rsidRDefault="009D0A5D">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44356B07" w14:textId="14F45126" w:rsidR="009D0A5D" w:rsidRDefault="007979ED">
          <w:pPr>
            <w:rPr>
              <w:rFonts w:ascii="Arial" w:eastAsiaTheme="majorEastAsia" w:hAnsi="Arial" w:cs="Arial"/>
              <w:lang w:val="es-ES" w:eastAsia="es-CO"/>
            </w:rPr>
          </w:pPr>
          <w:r>
            <w:rPr>
              <w:rFonts w:ascii="Arial" w:hAnsi="Arial" w:cs="Arial"/>
              <w:noProof/>
              <w:lang w:val="es-ES"/>
            </w:rPr>
            <mc:AlternateContent>
              <mc:Choice Requires="wps">
                <w:drawing>
                  <wp:anchor distT="0" distB="0" distL="114300" distR="114300" simplePos="0" relativeHeight="251663360" behindDoc="0" locked="0" layoutInCell="1" allowOverlap="1" wp14:anchorId="7BD9E1B6" wp14:editId="426808B4">
                    <wp:simplePos x="0" y="0"/>
                    <wp:positionH relativeFrom="column">
                      <wp:posOffset>3606165</wp:posOffset>
                    </wp:positionH>
                    <wp:positionV relativeFrom="paragraph">
                      <wp:posOffset>6980555</wp:posOffset>
                    </wp:positionV>
                    <wp:extent cx="2165350" cy="635000"/>
                    <wp:effectExtent l="0" t="0" r="6350" b="0"/>
                    <wp:wrapNone/>
                    <wp:docPr id="1" name="Cuadro de texto 1"/>
                    <wp:cNvGraphicFramePr/>
                    <a:graphic xmlns:a="http://schemas.openxmlformats.org/drawingml/2006/main">
                      <a:graphicData uri="http://schemas.microsoft.com/office/word/2010/wordprocessingShape">
                        <wps:wsp>
                          <wps:cNvSpPr txBox="1"/>
                          <wps:spPr>
                            <a:xfrm>
                              <a:off x="0" y="0"/>
                              <a:ext cx="2165350" cy="635000"/>
                            </a:xfrm>
                            <a:prstGeom prst="rect">
                              <a:avLst/>
                            </a:prstGeom>
                            <a:solidFill>
                              <a:schemeClr val="lt1"/>
                            </a:solidFill>
                            <a:ln w="6350">
                              <a:noFill/>
                            </a:ln>
                          </wps:spPr>
                          <wps:txbx>
                            <w:txbxContent>
                              <w:p w14:paraId="467720DA" w14:textId="50F30CA6" w:rsidR="007979ED" w:rsidRPr="007979ED" w:rsidRDefault="007979ED" w:rsidP="007979ED">
                                <w:pPr>
                                  <w:pStyle w:val="Sinespaciado"/>
                                  <w:jc w:val="right"/>
                                  <w:rPr>
                                    <w:rFonts w:ascii="Arial" w:hAnsi="Arial" w:cs="Arial"/>
                                    <w:color w:val="595959" w:themeColor="text1" w:themeTint="A6"/>
                                    <w:sz w:val="20"/>
                                    <w:szCs w:val="20"/>
                                  </w:rPr>
                                </w:pPr>
                                <w:r w:rsidRPr="007979ED">
                                  <w:rPr>
                                    <w:rFonts w:ascii="Arial" w:hAnsi="Arial" w:cs="Arial"/>
                                    <w:color w:val="595959" w:themeColor="text1" w:themeTint="A6"/>
                                    <w:sz w:val="20"/>
                                    <w:szCs w:val="20"/>
                                  </w:rPr>
                                  <w:t>Juan</w:t>
                                </w:r>
                              </w:p>
                              <w:p w14:paraId="155AEE19" w14:textId="29C4E186" w:rsidR="007979ED" w:rsidRPr="007979ED" w:rsidRDefault="007979ED" w:rsidP="007979ED">
                                <w:pPr>
                                  <w:pStyle w:val="Sinespaciado"/>
                                  <w:jc w:val="right"/>
                                  <w:rPr>
                                    <w:rFonts w:ascii="Arial" w:hAnsi="Arial" w:cs="Arial"/>
                                    <w:color w:val="595959" w:themeColor="text1" w:themeTint="A6"/>
                                    <w:sz w:val="20"/>
                                    <w:szCs w:val="20"/>
                                  </w:rPr>
                                </w:pPr>
                                <w:r w:rsidRPr="007979ED">
                                  <w:rPr>
                                    <w:rFonts w:ascii="Arial" w:hAnsi="Arial" w:cs="Arial"/>
                                    <w:color w:val="595959" w:themeColor="text1" w:themeTint="A6"/>
                                    <w:sz w:val="20"/>
                                    <w:szCs w:val="20"/>
                                  </w:rPr>
                                  <w:t>Jovan Alexis Saldarriaga</w:t>
                                </w:r>
                              </w:p>
                              <w:p w14:paraId="010CA621" w14:textId="6A40725E" w:rsidR="007979ED" w:rsidRPr="007979ED" w:rsidRDefault="007979ED" w:rsidP="007979ED">
                                <w:pPr>
                                  <w:pStyle w:val="Sinespaciado"/>
                                  <w:jc w:val="right"/>
                                  <w:rPr>
                                    <w:rFonts w:ascii="Arial" w:hAnsi="Arial" w:cs="Arial"/>
                                    <w:color w:val="595959" w:themeColor="text1" w:themeTint="A6"/>
                                    <w:sz w:val="20"/>
                                    <w:szCs w:val="20"/>
                                  </w:rPr>
                                </w:pPr>
                                <w:r w:rsidRPr="007979ED">
                                  <w:rPr>
                                    <w:rFonts w:ascii="Arial" w:hAnsi="Arial" w:cs="Arial"/>
                                    <w:color w:val="595959" w:themeColor="text1" w:themeTint="A6"/>
                                    <w:sz w:val="20"/>
                                    <w:szCs w:val="20"/>
                                  </w:rPr>
                                  <w:t>John Ferney Zapata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D9E1B6" id="Cuadro de texto 1" o:spid="_x0000_s1029" type="#_x0000_t202" style="position:absolute;margin-left:283.95pt;margin-top:549.65pt;width:170.5pt;height:50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" fillcolor="white [3201]" stroked="f" strokeweight=".5pt">
                    <v:textbox>
                      <w:txbxContent>
                        <w:p w14:paraId="467720DA" w14:textId="50F30CA6" w:rsidR="007979ED" w:rsidRPr="007979ED" w:rsidRDefault="007979ED" w:rsidP="007979ED">
                          <w:pPr>
                            <w:pStyle w:val="Sinespaciado"/>
                            <w:jc w:val="right"/>
                            <w:rPr>
                              <w:rFonts w:ascii="Arial" w:hAnsi="Arial" w:cs="Arial"/>
                              <w:color w:val="595959" w:themeColor="text1" w:themeTint="A6"/>
                              <w:sz w:val="20"/>
                              <w:szCs w:val="20"/>
                            </w:rPr>
                          </w:pPr>
                          <w:r w:rsidRPr="007979ED">
                            <w:rPr>
                              <w:rFonts w:ascii="Arial" w:hAnsi="Arial" w:cs="Arial"/>
                              <w:color w:val="595959" w:themeColor="text1" w:themeTint="A6"/>
                              <w:sz w:val="20"/>
                              <w:szCs w:val="20"/>
                            </w:rPr>
                            <w:t>Juan</w:t>
                          </w:r>
                        </w:p>
                        <w:p w14:paraId="155AEE19" w14:textId="29C4E186" w:rsidR="007979ED" w:rsidRPr="007979ED" w:rsidRDefault="007979ED" w:rsidP="007979ED">
                          <w:pPr>
                            <w:pStyle w:val="Sinespaciado"/>
                            <w:jc w:val="right"/>
                            <w:rPr>
                              <w:rFonts w:ascii="Arial" w:hAnsi="Arial" w:cs="Arial"/>
                              <w:color w:val="595959" w:themeColor="text1" w:themeTint="A6"/>
                              <w:sz w:val="20"/>
                              <w:szCs w:val="20"/>
                            </w:rPr>
                          </w:pPr>
                          <w:r w:rsidRPr="007979ED">
                            <w:rPr>
                              <w:rFonts w:ascii="Arial" w:hAnsi="Arial" w:cs="Arial"/>
                              <w:color w:val="595959" w:themeColor="text1" w:themeTint="A6"/>
                              <w:sz w:val="20"/>
                              <w:szCs w:val="20"/>
                            </w:rPr>
                            <w:t>Jovan Alexis Saldarriaga</w:t>
                          </w:r>
                        </w:p>
                        <w:p w14:paraId="010CA621" w14:textId="6A40725E" w:rsidR="007979ED" w:rsidRPr="007979ED" w:rsidRDefault="007979ED" w:rsidP="007979ED">
                          <w:pPr>
                            <w:pStyle w:val="Sinespaciado"/>
                            <w:jc w:val="right"/>
                            <w:rPr>
                              <w:rFonts w:ascii="Arial" w:hAnsi="Arial" w:cs="Arial"/>
                              <w:color w:val="595959" w:themeColor="text1" w:themeTint="A6"/>
                              <w:sz w:val="20"/>
                              <w:szCs w:val="20"/>
                            </w:rPr>
                          </w:pPr>
                          <w:r w:rsidRPr="007979ED">
                            <w:rPr>
                              <w:rFonts w:ascii="Arial" w:hAnsi="Arial" w:cs="Arial"/>
                              <w:color w:val="595959" w:themeColor="text1" w:themeTint="A6"/>
                              <w:sz w:val="20"/>
                              <w:szCs w:val="20"/>
                            </w:rPr>
                            <w:t>John Ferney Zapata</w:t>
                          </w:r>
                        </w:p>
                      </w:txbxContent>
                    </v:textbox>
                  </v:shape>
                </w:pict>
              </mc:Fallback>
            </mc:AlternateContent>
          </w:r>
          <w:r w:rsidR="009D0A5D">
            <w:rPr>
              <w:rFonts w:ascii="Arial" w:hAnsi="Arial" w:cs="Arial"/>
              <w:lang w:val="es-ES"/>
            </w:rPr>
            <w:br w:type="page"/>
          </w:r>
        </w:p>
        <w:bookmarkStart w:id="0" w:name="_GoBack" w:displacedByCustomXml="next"/>
        <w:bookmarkEnd w:id="0" w:displacedByCustomXml="next"/>
      </w:sdtContent>
    </w:sdt>
    <w:sdt>
      <w:sdtPr>
        <w:rPr>
          <w:lang w:val="es-ES"/>
        </w:rPr>
        <w:id w:val="24068897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4DE781D" w14:textId="31E89F56" w:rsidR="009D0A5D" w:rsidRPr="009D0A5D" w:rsidRDefault="009D0A5D">
          <w:pPr>
            <w:pStyle w:val="TtuloTDC"/>
            <w:rPr>
              <w:rFonts w:ascii="Arial" w:hAnsi="Arial" w:cs="Arial"/>
              <w:color w:val="auto"/>
              <w:sz w:val="22"/>
              <w:szCs w:val="22"/>
            </w:rPr>
          </w:pPr>
          <w:r w:rsidRPr="009D0A5D">
            <w:rPr>
              <w:rFonts w:ascii="Arial" w:hAnsi="Arial" w:cs="Arial"/>
              <w:color w:val="auto"/>
              <w:sz w:val="22"/>
              <w:szCs w:val="22"/>
              <w:lang w:val="es-ES"/>
            </w:rPr>
            <w:t>Contenido</w:t>
          </w:r>
        </w:p>
        <w:p w14:paraId="12A41D06" w14:textId="17C738CA" w:rsidR="009D0A5D" w:rsidRPr="009D0A5D" w:rsidRDefault="009D0A5D">
          <w:pPr>
            <w:pStyle w:val="TDC1"/>
            <w:tabs>
              <w:tab w:val="right" w:leader="dot" w:pos="8828"/>
            </w:tabs>
            <w:rPr>
              <w:rFonts w:ascii="Arial" w:hAnsi="Arial" w:cs="Arial"/>
              <w:noProof/>
            </w:rPr>
          </w:pPr>
          <w:r w:rsidRPr="009D0A5D">
            <w:rPr>
              <w:rFonts w:ascii="Arial" w:hAnsi="Arial" w:cs="Arial"/>
            </w:rPr>
            <w:fldChar w:fldCharType="begin"/>
          </w:r>
          <w:r w:rsidRPr="009D0A5D">
            <w:rPr>
              <w:rFonts w:ascii="Arial" w:hAnsi="Arial" w:cs="Arial"/>
            </w:rPr>
            <w:instrText xml:space="preserve"> TOC \o "1-3" \h \z \u </w:instrText>
          </w:r>
          <w:r w:rsidRPr="009D0A5D">
            <w:rPr>
              <w:rFonts w:ascii="Arial" w:hAnsi="Arial" w:cs="Arial"/>
            </w:rPr>
            <w:fldChar w:fldCharType="separate"/>
          </w:r>
          <w:hyperlink w:anchor="_Toc241594184" w:history="1">
            <w:r w:rsidRPr="009D0A5D">
              <w:rPr>
                <w:rStyle w:val="Hipervnculo"/>
                <w:rFonts w:ascii="Arial" w:hAnsi="Arial" w:cs="Arial"/>
                <w:noProof/>
                <w:color w:val="auto"/>
              </w:rPr>
              <w:t>Resumen Ejecutivo</w:t>
            </w:r>
            <w:r w:rsidRPr="009D0A5D">
              <w:rPr>
                <w:rFonts w:ascii="Arial" w:hAnsi="Arial" w:cs="Arial"/>
                <w:noProof/>
                <w:webHidden/>
              </w:rPr>
              <w:tab/>
            </w:r>
            <w:r w:rsidRPr="009D0A5D">
              <w:rPr>
                <w:rFonts w:ascii="Arial" w:hAnsi="Arial" w:cs="Arial"/>
                <w:noProof/>
                <w:webHidden/>
              </w:rPr>
              <w:fldChar w:fldCharType="begin"/>
            </w:r>
            <w:r w:rsidRPr="009D0A5D">
              <w:rPr>
                <w:rFonts w:ascii="Arial" w:hAnsi="Arial" w:cs="Arial"/>
                <w:noProof/>
                <w:webHidden/>
              </w:rPr>
              <w:instrText xml:space="preserve"> PAGEREF _Toc241594184 \h </w:instrText>
            </w:r>
            <w:r w:rsidRPr="009D0A5D">
              <w:rPr>
                <w:rFonts w:ascii="Arial" w:hAnsi="Arial" w:cs="Arial"/>
                <w:noProof/>
                <w:webHidden/>
              </w:rPr>
            </w:r>
            <w:r w:rsidRPr="009D0A5D">
              <w:rPr>
                <w:rFonts w:ascii="Arial" w:hAnsi="Arial" w:cs="Arial"/>
                <w:noProof/>
                <w:webHidden/>
              </w:rPr>
              <w:fldChar w:fldCharType="separate"/>
            </w:r>
            <w:r w:rsidRPr="009D0A5D">
              <w:rPr>
                <w:rFonts w:ascii="Arial" w:hAnsi="Arial" w:cs="Arial"/>
                <w:noProof/>
                <w:webHidden/>
              </w:rPr>
              <w:t>2</w:t>
            </w:r>
            <w:r w:rsidRPr="009D0A5D">
              <w:rPr>
                <w:rFonts w:ascii="Arial" w:hAnsi="Arial" w:cs="Arial"/>
                <w:noProof/>
                <w:webHidden/>
              </w:rPr>
              <w:fldChar w:fldCharType="end"/>
            </w:r>
          </w:hyperlink>
        </w:p>
        <w:p w14:paraId="3CFA3011" w14:textId="3BA0F037" w:rsidR="009D0A5D" w:rsidRPr="009D0A5D" w:rsidRDefault="009D0A5D">
          <w:pPr>
            <w:pStyle w:val="TDC1"/>
            <w:tabs>
              <w:tab w:val="right" w:leader="dot" w:pos="8828"/>
            </w:tabs>
            <w:rPr>
              <w:rFonts w:ascii="Arial" w:hAnsi="Arial" w:cs="Arial"/>
              <w:noProof/>
            </w:rPr>
          </w:pPr>
          <w:hyperlink w:anchor="_Toc241594185" w:history="1">
            <w:r w:rsidRPr="009D0A5D">
              <w:rPr>
                <w:rStyle w:val="Hipervnculo"/>
                <w:rFonts w:ascii="Arial" w:hAnsi="Arial" w:cs="Arial"/>
                <w:noProof/>
                <w:color w:val="auto"/>
              </w:rPr>
              <w:t>Fuentes y preparación de los datos</w:t>
            </w:r>
            <w:r w:rsidRPr="009D0A5D">
              <w:rPr>
                <w:rFonts w:ascii="Arial" w:hAnsi="Arial" w:cs="Arial"/>
                <w:noProof/>
                <w:webHidden/>
              </w:rPr>
              <w:tab/>
            </w:r>
            <w:r w:rsidRPr="009D0A5D">
              <w:rPr>
                <w:rFonts w:ascii="Arial" w:hAnsi="Arial" w:cs="Arial"/>
                <w:noProof/>
                <w:webHidden/>
              </w:rPr>
              <w:fldChar w:fldCharType="begin"/>
            </w:r>
            <w:r w:rsidRPr="009D0A5D">
              <w:rPr>
                <w:rFonts w:ascii="Arial" w:hAnsi="Arial" w:cs="Arial"/>
                <w:noProof/>
                <w:webHidden/>
              </w:rPr>
              <w:instrText xml:space="preserve"> PAGEREF _Toc241594185 \h </w:instrText>
            </w:r>
            <w:r w:rsidRPr="009D0A5D">
              <w:rPr>
                <w:rFonts w:ascii="Arial" w:hAnsi="Arial" w:cs="Arial"/>
                <w:noProof/>
                <w:webHidden/>
              </w:rPr>
            </w:r>
            <w:r w:rsidRPr="009D0A5D">
              <w:rPr>
                <w:rFonts w:ascii="Arial" w:hAnsi="Arial" w:cs="Arial"/>
                <w:noProof/>
                <w:webHidden/>
              </w:rPr>
              <w:fldChar w:fldCharType="separate"/>
            </w:r>
            <w:r w:rsidRPr="009D0A5D">
              <w:rPr>
                <w:rFonts w:ascii="Arial" w:hAnsi="Arial" w:cs="Arial"/>
                <w:noProof/>
                <w:webHidden/>
              </w:rPr>
              <w:t>2</w:t>
            </w:r>
            <w:r w:rsidRPr="009D0A5D">
              <w:rPr>
                <w:rFonts w:ascii="Arial" w:hAnsi="Arial" w:cs="Arial"/>
                <w:noProof/>
                <w:webHidden/>
              </w:rPr>
              <w:fldChar w:fldCharType="end"/>
            </w:r>
          </w:hyperlink>
        </w:p>
        <w:p w14:paraId="6512E18D" w14:textId="0AA8C8E1" w:rsidR="009D0A5D" w:rsidRPr="009D0A5D" w:rsidRDefault="009D0A5D">
          <w:pPr>
            <w:pStyle w:val="TDC1"/>
            <w:tabs>
              <w:tab w:val="right" w:leader="dot" w:pos="8828"/>
            </w:tabs>
            <w:rPr>
              <w:rFonts w:ascii="Arial" w:hAnsi="Arial" w:cs="Arial"/>
              <w:noProof/>
            </w:rPr>
          </w:pPr>
          <w:hyperlink w:anchor="_Toc241594186" w:history="1">
            <w:r w:rsidRPr="009D0A5D">
              <w:rPr>
                <w:rStyle w:val="Hipervnculo"/>
                <w:rFonts w:ascii="Arial" w:hAnsi="Arial" w:cs="Arial"/>
                <w:noProof/>
                <w:color w:val="auto"/>
              </w:rPr>
              <w:t>Construcción del portafolio media-varianza</w:t>
            </w:r>
            <w:r w:rsidRPr="009D0A5D">
              <w:rPr>
                <w:rFonts w:ascii="Arial" w:hAnsi="Arial" w:cs="Arial"/>
                <w:noProof/>
                <w:webHidden/>
              </w:rPr>
              <w:tab/>
            </w:r>
            <w:r w:rsidRPr="009D0A5D">
              <w:rPr>
                <w:rFonts w:ascii="Arial" w:hAnsi="Arial" w:cs="Arial"/>
                <w:noProof/>
                <w:webHidden/>
              </w:rPr>
              <w:fldChar w:fldCharType="begin"/>
            </w:r>
            <w:r w:rsidRPr="009D0A5D">
              <w:rPr>
                <w:rFonts w:ascii="Arial" w:hAnsi="Arial" w:cs="Arial"/>
                <w:noProof/>
                <w:webHidden/>
              </w:rPr>
              <w:instrText xml:space="preserve"> PAGEREF _Toc241594186 \h </w:instrText>
            </w:r>
            <w:r w:rsidRPr="009D0A5D">
              <w:rPr>
                <w:rFonts w:ascii="Arial" w:hAnsi="Arial" w:cs="Arial"/>
                <w:noProof/>
                <w:webHidden/>
              </w:rPr>
            </w:r>
            <w:r w:rsidRPr="009D0A5D">
              <w:rPr>
                <w:rFonts w:ascii="Arial" w:hAnsi="Arial" w:cs="Arial"/>
                <w:noProof/>
                <w:webHidden/>
              </w:rPr>
              <w:fldChar w:fldCharType="separate"/>
            </w:r>
            <w:r w:rsidRPr="009D0A5D">
              <w:rPr>
                <w:rFonts w:ascii="Arial" w:hAnsi="Arial" w:cs="Arial"/>
                <w:noProof/>
                <w:webHidden/>
              </w:rPr>
              <w:t>3</w:t>
            </w:r>
            <w:r w:rsidRPr="009D0A5D">
              <w:rPr>
                <w:rFonts w:ascii="Arial" w:hAnsi="Arial" w:cs="Arial"/>
                <w:noProof/>
                <w:webHidden/>
              </w:rPr>
              <w:fldChar w:fldCharType="end"/>
            </w:r>
          </w:hyperlink>
        </w:p>
        <w:p w14:paraId="2063D536" w14:textId="57BEC719" w:rsidR="009D0A5D" w:rsidRPr="009D0A5D" w:rsidRDefault="009D0A5D">
          <w:pPr>
            <w:pStyle w:val="TDC1"/>
            <w:tabs>
              <w:tab w:val="right" w:leader="dot" w:pos="8828"/>
            </w:tabs>
            <w:rPr>
              <w:rFonts w:ascii="Arial" w:hAnsi="Arial" w:cs="Arial"/>
              <w:noProof/>
            </w:rPr>
          </w:pPr>
          <w:hyperlink w:anchor="_Toc241594187" w:history="1">
            <w:r w:rsidRPr="009D0A5D">
              <w:rPr>
                <w:rStyle w:val="Hipervnculo"/>
                <w:rFonts w:ascii="Arial" w:hAnsi="Arial" w:cs="Arial"/>
                <w:noProof/>
                <w:color w:val="auto"/>
              </w:rPr>
              <w:t>Simulación y métricas de riesgo</w:t>
            </w:r>
            <w:r w:rsidRPr="009D0A5D">
              <w:rPr>
                <w:rFonts w:ascii="Arial" w:hAnsi="Arial" w:cs="Arial"/>
                <w:noProof/>
                <w:webHidden/>
              </w:rPr>
              <w:tab/>
            </w:r>
            <w:r w:rsidRPr="009D0A5D">
              <w:rPr>
                <w:rFonts w:ascii="Arial" w:hAnsi="Arial" w:cs="Arial"/>
                <w:noProof/>
                <w:webHidden/>
              </w:rPr>
              <w:fldChar w:fldCharType="begin"/>
            </w:r>
            <w:r w:rsidRPr="009D0A5D">
              <w:rPr>
                <w:rFonts w:ascii="Arial" w:hAnsi="Arial" w:cs="Arial"/>
                <w:noProof/>
                <w:webHidden/>
              </w:rPr>
              <w:instrText xml:space="preserve"> PAGEREF _Toc241594187 \h </w:instrText>
            </w:r>
            <w:r w:rsidRPr="009D0A5D">
              <w:rPr>
                <w:rFonts w:ascii="Arial" w:hAnsi="Arial" w:cs="Arial"/>
                <w:noProof/>
                <w:webHidden/>
              </w:rPr>
            </w:r>
            <w:r w:rsidRPr="009D0A5D">
              <w:rPr>
                <w:rFonts w:ascii="Arial" w:hAnsi="Arial" w:cs="Arial"/>
                <w:noProof/>
                <w:webHidden/>
              </w:rPr>
              <w:fldChar w:fldCharType="separate"/>
            </w:r>
            <w:r w:rsidRPr="009D0A5D">
              <w:rPr>
                <w:rFonts w:ascii="Arial" w:hAnsi="Arial" w:cs="Arial"/>
                <w:noProof/>
                <w:webHidden/>
              </w:rPr>
              <w:t>3</w:t>
            </w:r>
            <w:r w:rsidRPr="009D0A5D">
              <w:rPr>
                <w:rFonts w:ascii="Arial" w:hAnsi="Arial" w:cs="Arial"/>
                <w:noProof/>
                <w:webHidden/>
              </w:rPr>
              <w:fldChar w:fldCharType="end"/>
            </w:r>
          </w:hyperlink>
        </w:p>
        <w:p w14:paraId="30F73D2E" w14:textId="2FBE4767" w:rsidR="009D0A5D" w:rsidRPr="009D0A5D" w:rsidRDefault="009D0A5D">
          <w:pPr>
            <w:pStyle w:val="TDC1"/>
            <w:tabs>
              <w:tab w:val="right" w:leader="dot" w:pos="8828"/>
            </w:tabs>
            <w:rPr>
              <w:rFonts w:ascii="Arial" w:hAnsi="Arial" w:cs="Arial"/>
              <w:noProof/>
            </w:rPr>
          </w:pPr>
          <w:hyperlink w:anchor="_Toc241594188" w:history="1">
            <w:r w:rsidRPr="009D0A5D">
              <w:rPr>
                <w:rStyle w:val="Hipervnculo"/>
                <w:rFonts w:ascii="Arial" w:hAnsi="Arial" w:cs="Arial"/>
                <w:noProof/>
                <w:color w:val="auto"/>
              </w:rPr>
              <w:t>Selección de opciones y criterios de liquidez</w:t>
            </w:r>
            <w:r w:rsidRPr="009D0A5D">
              <w:rPr>
                <w:rFonts w:ascii="Arial" w:hAnsi="Arial" w:cs="Arial"/>
                <w:noProof/>
                <w:webHidden/>
              </w:rPr>
              <w:tab/>
            </w:r>
            <w:r w:rsidRPr="009D0A5D">
              <w:rPr>
                <w:rFonts w:ascii="Arial" w:hAnsi="Arial" w:cs="Arial"/>
                <w:noProof/>
                <w:webHidden/>
              </w:rPr>
              <w:fldChar w:fldCharType="begin"/>
            </w:r>
            <w:r w:rsidRPr="009D0A5D">
              <w:rPr>
                <w:rFonts w:ascii="Arial" w:hAnsi="Arial" w:cs="Arial"/>
                <w:noProof/>
                <w:webHidden/>
              </w:rPr>
              <w:instrText xml:space="preserve"> PAGEREF _Toc241594188 \h </w:instrText>
            </w:r>
            <w:r w:rsidRPr="009D0A5D">
              <w:rPr>
                <w:rFonts w:ascii="Arial" w:hAnsi="Arial" w:cs="Arial"/>
                <w:noProof/>
                <w:webHidden/>
              </w:rPr>
            </w:r>
            <w:r w:rsidRPr="009D0A5D">
              <w:rPr>
                <w:rFonts w:ascii="Arial" w:hAnsi="Arial" w:cs="Arial"/>
                <w:noProof/>
                <w:webHidden/>
              </w:rPr>
              <w:fldChar w:fldCharType="separate"/>
            </w:r>
            <w:r w:rsidRPr="009D0A5D">
              <w:rPr>
                <w:rFonts w:ascii="Arial" w:hAnsi="Arial" w:cs="Arial"/>
                <w:noProof/>
                <w:webHidden/>
              </w:rPr>
              <w:t>4</w:t>
            </w:r>
            <w:r w:rsidRPr="009D0A5D">
              <w:rPr>
                <w:rFonts w:ascii="Arial" w:hAnsi="Arial" w:cs="Arial"/>
                <w:noProof/>
                <w:webHidden/>
              </w:rPr>
              <w:fldChar w:fldCharType="end"/>
            </w:r>
          </w:hyperlink>
        </w:p>
        <w:p w14:paraId="17F2C8E8" w14:textId="438C9237" w:rsidR="009D0A5D" w:rsidRPr="009D0A5D" w:rsidRDefault="009D0A5D">
          <w:pPr>
            <w:pStyle w:val="TDC1"/>
            <w:tabs>
              <w:tab w:val="right" w:leader="dot" w:pos="8828"/>
            </w:tabs>
            <w:rPr>
              <w:rFonts w:ascii="Arial" w:hAnsi="Arial" w:cs="Arial"/>
              <w:noProof/>
            </w:rPr>
          </w:pPr>
          <w:hyperlink w:anchor="_Toc241594189" w:history="1">
            <w:r w:rsidRPr="009D0A5D">
              <w:rPr>
                <w:rStyle w:val="Hipervnculo"/>
                <w:rFonts w:ascii="Arial" w:hAnsi="Arial" w:cs="Arial"/>
                <w:noProof/>
                <w:color w:val="auto"/>
              </w:rPr>
              <w:t>Valoración binomial europea y americana</w:t>
            </w:r>
            <w:r w:rsidRPr="009D0A5D">
              <w:rPr>
                <w:rFonts w:ascii="Arial" w:hAnsi="Arial" w:cs="Arial"/>
                <w:noProof/>
                <w:webHidden/>
              </w:rPr>
              <w:tab/>
            </w:r>
            <w:r w:rsidRPr="009D0A5D">
              <w:rPr>
                <w:rFonts w:ascii="Arial" w:hAnsi="Arial" w:cs="Arial"/>
                <w:noProof/>
                <w:webHidden/>
              </w:rPr>
              <w:fldChar w:fldCharType="begin"/>
            </w:r>
            <w:r w:rsidRPr="009D0A5D">
              <w:rPr>
                <w:rFonts w:ascii="Arial" w:hAnsi="Arial" w:cs="Arial"/>
                <w:noProof/>
                <w:webHidden/>
              </w:rPr>
              <w:instrText xml:space="preserve"> PAGEREF _Toc241594189 \h </w:instrText>
            </w:r>
            <w:r w:rsidRPr="009D0A5D">
              <w:rPr>
                <w:rFonts w:ascii="Arial" w:hAnsi="Arial" w:cs="Arial"/>
                <w:noProof/>
                <w:webHidden/>
              </w:rPr>
            </w:r>
            <w:r w:rsidRPr="009D0A5D">
              <w:rPr>
                <w:rFonts w:ascii="Arial" w:hAnsi="Arial" w:cs="Arial"/>
                <w:noProof/>
                <w:webHidden/>
              </w:rPr>
              <w:fldChar w:fldCharType="separate"/>
            </w:r>
            <w:r w:rsidRPr="009D0A5D">
              <w:rPr>
                <w:rFonts w:ascii="Arial" w:hAnsi="Arial" w:cs="Arial"/>
                <w:noProof/>
                <w:webHidden/>
              </w:rPr>
              <w:t>5</w:t>
            </w:r>
            <w:r w:rsidRPr="009D0A5D">
              <w:rPr>
                <w:rFonts w:ascii="Arial" w:hAnsi="Arial" w:cs="Arial"/>
                <w:noProof/>
                <w:webHidden/>
              </w:rPr>
              <w:fldChar w:fldCharType="end"/>
            </w:r>
          </w:hyperlink>
        </w:p>
        <w:p w14:paraId="581232CA" w14:textId="441C9FE4" w:rsidR="009D0A5D" w:rsidRPr="009D0A5D" w:rsidRDefault="009D0A5D">
          <w:pPr>
            <w:pStyle w:val="TDC1"/>
            <w:tabs>
              <w:tab w:val="right" w:leader="dot" w:pos="8828"/>
            </w:tabs>
            <w:rPr>
              <w:rFonts w:ascii="Arial" w:hAnsi="Arial" w:cs="Arial"/>
              <w:noProof/>
            </w:rPr>
          </w:pPr>
          <w:hyperlink w:anchor="_Toc241594190" w:history="1">
            <w:r w:rsidRPr="009D0A5D">
              <w:rPr>
                <w:rStyle w:val="Hipervnculo"/>
                <w:rFonts w:ascii="Arial" w:hAnsi="Arial" w:cs="Arial"/>
                <w:noProof/>
                <w:color w:val="auto"/>
              </w:rPr>
              <w:t>Diseño de coberturas</w:t>
            </w:r>
            <w:r w:rsidRPr="009D0A5D">
              <w:rPr>
                <w:rFonts w:ascii="Arial" w:hAnsi="Arial" w:cs="Arial"/>
                <w:noProof/>
                <w:webHidden/>
              </w:rPr>
              <w:tab/>
            </w:r>
            <w:r w:rsidRPr="009D0A5D">
              <w:rPr>
                <w:rFonts w:ascii="Arial" w:hAnsi="Arial" w:cs="Arial"/>
                <w:noProof/>
                <w:webHidden/>
              </w:rPr>
              <w:fldChar w:fldCharType="begin"/>
            </w:r>
            <w:r w:rsidRPr="009D0A5D">
              <w:rPr>
                <w:rFonts w:ascii="Arial" w:hAnsi="Arial" w:cs="Arial"/>
                <w:noProof/>
                <w:webHidden/>
              </w:rPr>
              <w:instrText xml:space="preserve"> PAGEREF _Toc241594190 \h </w:instrText>
            </w:r>
            <w:r w:rsidRPr="009D0A5D">
              <w:rPr>
                <w:rFonts w:ascii="Arial" w:hAnsi="Arial" w:cs="Arial"/>
                <w:noProof/>
                <w:webHidden/>
              </w:rPr>
            </w:r>
            <w:r w:rsidRPr="009D0A5D">
              <w:rPr>
                <w:rFonts w:ascii="Arial" w:hAnsi="Arial" w:cs="Arial"/>
                <w:noProof/>
                <w:webHidden/>
              </w:rPr>
              <w:fldChar w:fldCharType="separate"/>
            </w:r>
            <w:r w:rsidRPr="009D0A5D">
              <w:rPr>
                <w:rFonts w:ascii="Arial" w:hAnsi="Arial" w:cs="Arial"/>
                <w:noProof/>
                <w:webHidden/>
              </w:rPr>
              <w:t>5</w:t>
            </w:r>
            <w:r w:rsidRPr="009D0A5D">
              <w:rPr>
                <w:rFonts w:ascii="Arial" w:hAnsi="Arial" w:cs="Arial"/>
                <w:noProof/>
                <w:webHidden/>
              </w:rPr>
              <w:fldChar w:fldCharType="end"/>
            </w:r>
          </w:hyperlink>
        </w:p>
        <w:p w14:paraId="4D33464D" w14:textId="596F746F" w:rsidR="009D0A5D" w:rsidRPr="009D0A5D" w:rsidRDefault="009D0A5D">
          <w:pPr>
            <w:pStyle w:val="TDC1"/>
            <w:tabs>
              <w:tab w:val="right" w:leader="dot" w:pos="8828"/>
            </w:tabs>
            <w:rPr>
              <w:rFonts w:ascii="Arial" w:hAnsi="Arial" w:cs="Arial"/>
              <w:noProof/>
            </w:rPr>
          </w:pPr>
          <w:hyperlink w:anchor="_Toc241594191" w:history="1">
            <w:r w:rsidRPr="009D0A5D">
              <w:rPr>
                <w:rStyle w:val="Hipervnculo"/>
                <w:rFonts w:ascii="Arial" w:hAnsi="Arial" w:cs="Arial"/>
                <w:noProof/>
                <w:color w:val="auto"/>
              </w:rPr>
              <w:t>Seguimiento trimestral y comparación cubierto/no cubierto</w:t>
            </w:r>
            <w:r w:rsidRPr="009D0A5D">
              <w:rPr>
                <w:rFonts w:ascii="Arial" w:hAnsi="Arial" w:cs="Arial"/>
                <w:noProof/>
                <w:webHidden/>
              </w:rPr>
              <w:tab/>
            </w:r>
            <w:r w:rsidRPr="009D0A5D">
              <w:rPr>
                <w:rFonts w:ascii="Arial" w:hAnsi="Arial" w:cs="Arial"/>
                <w:noProof/>
                <w:webHidden/>
              </w:rPr>
              <w:fldChar w:fldCharType="begin"/>
            </w:r>
            <w:r w:rsidRPr="009D0A5D">
              <w:rPr>
                <w:rFonts w:ascii="Arial" w:hAnsi="Arial" w:cs="Arial"/>
                <w:noProof/>
                <w:webHidden/>
              </w:rPr>
              <w:instrText xml:space="preserve"> PAGEREF _Toc241594191 \h </w:instrText>
            </w:r>
            <w:r w:rsidRPr="009D0A5D">
              <w:rPr>
                <w:rFonts w:ascii="Arial" w:hAnsi="Arial" w:cs="Arial"/>
                <w:noProof/>
                <w:webHidden/>
              </w:rPr>
            </w:r>
            <w:r w:rsidRPr="009D0A5D">
              <w:rPr>
                <w:rFonts w:ascii="Arial" w:hAnsi="Arial" w:cs="Arial"/>
                <w:noProof/>
                <w:webHidden/>
              </w:rPr>
              <w:fldChar w:fldCharType="separate"/>
            </w:r>
            <w:r w:rsidRPr="009D0A5D">
              <w:rPr>
                <w:rFonts w:ascii="Arial" w:hAnsi="Arial" w:cs="Arial"/>
                <w:noProof/>
                <w:webHidden/>
              </w:rPr>
              <w:t>6</w:t>
            </w:r>
            <w:r w:rsidRPr="009D0A5D">
              <w:rPr>
                <w:rFonts w:ascii="Arial" w:hAnsi="Arial" w:cs="Arial"/>
                <w:noProof/>
                <w:webHidden/>
              </w:rPr>
              <w:fldChar w:fldCharType="end"/>
            </w:r>
          </w:hyperlink>
        </w:p>
        <w:p w14:paraId="431CC66C" w14:textId="1C0AAA75" w:rsidR="009D0A5D" w:rsidRPr="009D0A5D" w:rsidRDefault="009D0A5D">
          <w:pPr>
            <w:pStyle w:val="TDC1"/>
            <w:tabs>
              <w:tab w:val="right" w:leader="dot" w:pos="8828"/>
            </w:tabs>
            <w:rPr>
              <w:rFonts w:ascii="Arial" w:hAnsi="Arial" w:cs="Arial"/>
              <w:noProof/>
            </w:rPr>
          </w:pPr>
          <w:hyperlink w:anchor="_Toc241594192" w:history="1">
            <w:r w:rsidRPr="009D0A5D">
              <w:rPr>
                <w:rStyle w:val="Hipervnculo"/>
                <w:rFonts w:ascii="Arial" w:hAnsi="Arial" w:cs="Arial"/>
                <w:noProof/>
                <w:color w:val="auto"/>
              </w:rPr>
              <w:t>Conclusiones, limitaciones y recomendación final</w:t>
            </w:r>
            <w:r w:rsidRPr="009D0A5D">
              <w:rPr>
                <w:rFonts w:ascii="Arial" w:hAnsi="Arial" w:cs="Arial"/>
                <w:noProof/>
                <w:webHidden/>
              </w:rPr>
              <w:tab/>
            </w:r>
            <w:r w:rsidRPr="009D0A5D">
              <w:rPr>
                <w:rFonts w:ascii="Arial" w:hAnsi="Arial" w:cs="Arial"/>
                <w:noProof/>
                <w:webHidden/>
              </w:rPr>
              <w:fldChar w:fldCharType="begin"/>
            </w:r>
            <w:r w:rsidRPr="009D0A5D">
              <w:rPr>
                <w:rFonts w:ascii="Arial" w:hAnsi="Arial" w:cs="Arial"/>
                <w:noProof/>
                <w:webHidden/>
              </w:rPr>
              <w:instrText xml:space="preserve"> PAGEREF _Toc241594192 \h </w:instrText>
            </w:r>
            <w:r w:rsidRPr="009D0A5D">
              <w:rPr>
                <w:rFonts w:ascii="Arial" w:hAnsi="Arial" w:cs="Arial"/>
                <w:noProof/>
                <w:webHidden/>
              </w:rPr>
            </w:r>
            <w:r w:rsidRPr="009D0A5D">
              <w:rPr>
                <w:rFonts w:ascii="Arial" w:hAnsi="Arial" w:cs="Arial"/>
                <w:noProof/>
                <w:webHidden/>
              </w:rPr>
              <w:fldChar w:fldCharType="separate"/>
            </w:r>
            <w:r w:rsidRPr="009D0A5D">
              <w:rPr>
                <w:rFonts w:ascii="Arial" w:hAnsi="Arial" w:cs="Arial"/>
                <w:noProof/>
                <w:webHidden/>
              </w:rPr>
              <w:t>7</w:t>
            </w:r>
            <w:r w:rsidRPr="009D0A5D">
              <w:rPr>
                <w:rFonts w:ascii="Arial" w:hAnsi="Arial" w:cs="Arial"/>
                <w:noProof/>
                <w:webHidden/>
              </w:rPr>
              <w:fldChar w:fldCharType="end"/>
            </w:r>
          </w:hyperlink>
        </w:p>
        <w:p w14:paraId="75B2E5CC" w14:textId="603A07CB" w:rsidR="009D0A5D" w:rsidRDefault="009D0A5D">
          <w:r w:rsidRPr="009D0A5D">
            <w:rPr>
              <w:rFonts w:ascii="Arial" w:hAnsi="Arial" w:cs="Arial"/>
              <w:bCs/>
              <w:lang w:val="es-ES"/>
            </w:rPr>
            <w:fldChar w:fldCharType="end"/>
          </w:r>
        </w:p>
      </w:sdtContent>
    </w:sdt>
    <w:p w14:paraId="61DDFEEF" w14:textId="3B649E6F" w:rsidR="009D0A5D" w:rsidRDefault="009D0A5D">
      <w:r>
        <w:br w:type="page"/>
      </w:r>
    </w:p>
    <w:p w14:paraId="1C89F071" w14:textId="77777777" w:rsidR="00A24D13" w:rsidRPr="009D0A5D" w:rsidRDefault="00A24D13" w:rsidP="00A24D13">
      <w:pPr>
        <w:pStyle w:val="Ttulo1"/>
        <w:rPr>
          <w:rFonts w:ascii="Arial" w:hAnsi="Arial" w:cs="Arial"/>
          <w:b/>
          <w:color w:val="auto"/>
          <w:sz w:val="22"/>
          <w:szCs w:val="22"/>
        </w:rPr>
      </w:pPr>
      <w:bookmarkStart w:id="1" w:name="_Toc241594184"/>
      <w:r w:rsidRPr="009D0A5D">
        <w:rPr>
          <w:rFonts w:ascii="Arial" w:hAnsi="Arial" w:cs="Arial"/>
          <w:b/>
          <w:color w:val="auto"/>
          <w:sz w:val="22"/>
          <w:szCs w:val="22"/>
        </w:rPr>
        <w:lastRenderedPageBreak/>
        <w:t>Resumen Ejecutivo</w:t>
      </w:r>
      <w:bookmarkEnd w:id="1"/>
    </w:p>
    <w:p w14:paraId="72D9DBD1" w14:textId="77777777" w:rsidR="00A24D13" w:rsidRDefault="00A24D13" w:rsidP="00A24D13"/>
    <w:p w14:paraId="2AD2C6AE" w14:textId="77777777" w:rsidR="00A24D13" w:rsidRPr="00A24D13" w:rsidRDefault="00A24D13" w:rsidP="00A24D13">
      <w:pPr>
        <w:spacing w:line="360" w:lineRule="auto"/>
        <w:jc w:val="both"/>
        <w:rPr>
          <w:rFonts w:ascii="Arial" w:hAnsi="Arial" w:cs="Arial"/>
        </w:rPr>
      </w:pPr>
      <w:r w:rsidRPr="00A24D13">
        <w:rPr>
          <w:rFonts w:ascii="Arial" w:hAnsi="Arial" w:cs="Arial"/>
        </w:rPr>
        <w:t>Presentamos el análisis de una inversión de USD 10 millones durante un horizonte de dos años, distribuida en tres acciones del mercado estadounidense: Eli Lilly (LLY), Oracle (ORCL) y General Dynamics (GD), este portafolio se construye utilizando el modelo de media-varianza y se establece una restricción de participación entre 15% y 50% para cada acción logrando como configuración final 33,1% en LLY, 16,9% en ORCL y 50,0% en GD.</w:t>
      </w:r>
    </w:p>
    <w:p w14:paraId="731CCE76" w14:textId="77777777" w:rsidR="00A24D13" w:rsidRPr="00A24D13" w:rsidRDefault="00A24D13" w:rsidP="00A24D13">
      <w:pPr>
        <w:spacing w:line="360" w:lineRule="auto"/>
        <w:jc w:val="both"/>
        <w:rPr>
          <w:rFonts w:ascii="Arial" w:hAnsi="Arial" w:cs="Arial"/>
        </w:rPr>
      </w:pPr>
      <w:r w:rsidRPr="00A24D13">
        <w:rPr>
          <w:rFonts w:ascii="Arial" w:hAnsi="Arial" w:cs="Arial"/>
        </w:rPr>
        <w:t>Analizando los costos identificamos que la estrategia A (</w:t>
      </w:r>
      <w:proofErr w:type="spellStart"/>
      <w:r w:rsidRPr="00234F89">
        <w:rPr>
          <w:rFonts w:ascii="Arial" w:hAnsi="Arial" w:cs="Arial"/>
          <w:i/>
        </w:rPr>
        <w:t>Protective</w:t>
      </w:r>
      <w:proofErr w:type="spellEnd"/>
      <w:r w:rsidRPr="00234F89">
        <w:rPr>
          <w:rFonts w:ascii="Arial" w:hAnsi="Arial" w:cs="Arial"/>
          <w:i/>
        </w:rPr>
        <w:t xml:space="preserve"> </w:t>
      </w:r>
      <w:proofErr w:type="spellStart"/>
      <w:r w:rsidRPr="00234F89">
        <w:rPr>
          <w:rFonts w:ascii="Arial" w:hAnsi="Arial" w:cs="Arial"/>
          <w:i/>
        </w:rPr>
        <w:t>Put</w:t>
      </w:r>
      <w:proofErr w:type="spellEnd"/>
      <w:r w:rsidRPr="00A24D13">
        <w:rPr>
          <w:rFonts w:ascii="Arial" w:hAnsi="Arial" w:cs="Arial"/>
        </w:rPr>
        <w:t>) requiere una prima neta de USD 925.290, equivalente al 9,25 % del portafolio, la estrategia B (</w:t>
      </w:r>
      <w:r w:rsidRPr="00234F89">
        <w:rPr>
          <w:rFonts w:ascii="Arial" w:hAnsi="Arial" w:cs="Arial"/>
          <w:i/>
        </w:rPr>
        <w:t>Collar</w:t>
      </w:r>
      <w:r w:rsidRPr="00A24D13">
        <w:rPr>
          <w:rFonts w:ascii="Arial" w:hAnsi="Arial" w:cs="Arial"/>
        </w:rPr>
        <w:t xml:space="preserve">) reduce este desembolso inicial a USD 277.275, equivalente al 2,77 %, debido a que la venta de las </w:t>
      </w:r>
      <w:proofErr w:type="spellStart"/>
      <w:r w:rsidRPr="00234F89">
        <w:rPr>
          <w:rFonts w:ascii="Arial" w:hAnsi="Arial" w:cs="Arial"/>
          <w:i/>
        </w:rPr>
        <w:t>calls</w:t>
      </w:r>
      <w:proofErr w:type="spellEnd"/>
      <w:r w:rsidRPr="00A24D13">
        <w:rPr>
          <w:rFonts w:ascii="Arial" w:hAnsi="Arial" w:cs="Arial"/>
        </w:rPr>
        <w:t xml:space="preserve"> financia parte de la prima de las </w:t>
      </w:r>
      <w:proofErr w:type="spellStart"/>
      <w:r w:rsidRPr="00234F89">
        <w:rPr>
          <w:rFonts w:ascii="Arial" w:hAnsi="Arial" w:cs="Arial"/>
          <w:i/>
        </w:rPr>
        <w:t>puts</w:t>
      </w:r>
      <w:proofErr w:type="spellEnd"/>
      <w:r w:rsidRPr="00A24D13">
        <w:rPr>
          <w:rFonts w:ascii="Arial" w:hAnsi="Arial" w:cs="Arial"/>
        </w:rPr>
        <w:t>, finalmente, la Estrategia C (</w:t>
      </w:r>
      <w:proofErr w:type="spellStart"/>
      <w:r w:rsidRPr="00234F89">
        <w:rPr>
          <w:rFonts w:ascii="Arial" w:hAnsi="Arial" w:cs="Arial"/>
          <w:i/>
        </w:rPr>
        <w:t>bear</w:t>
      </w:r>
      <w:proofErr w:type="spellEnd"/>
      <w:r w:rsidRPr="00234F89">
        <w:rPr>
          <w:rFonts w:ascii="Arial" w:hAnsi="Arial" w:cs="Arial"/>
          <w:i/>
        </w:rPr>
        <w:t xml:space="preserve"> </w:t>
      </w:r>
      <w:proofErr w:type="spellStart"/>
      <w:r w:rsidRPr="00234F89">
        <w:rPr>
          <w:rFonts w:ascii="Arial" w:hAnsi="Arial" w:cs="Arial"/>
          <w:i/>
        </w:rPr>
        <w:t>put</w:t>
      </w:r>
      <w:proofErr w:type="spellEnd"/>
      <w:r w:rsidRPr="00234F89">
        <w:rPr>
          <w:rFonts w:ascii="Arial" w:hAnsi="Arial" w:cs="Arial"/>
          <w:i/>
        </w:rPr>
        <w:t xml:space="preserve"> spread</w:t>
      </w:r>
      <w:r w:rsidRPr="00A24D13">
        <w:rPr>
          <w:rFonts w:ascii="Arial" w:hAnsi="Arial" w:cs="Arial"/>
        </w:rPr>
        <w:t>) sobre LLY, reduce el costo de protección de este activo a USD 232.000, una reducción cercana al 35%.</w:t>
      </w:r>
    </w:p>
    <w:p w14:paraId="56B2A599" w14:textId="411898DF" w:rsidR="00A24D13" w:rsidRPr="00234F89" w:rsidRDefault="00A24D13" w:rsidP="00234F89">
      <w:pPr>
        <w:spacing w:line="360" w:lineRule="auto"/>
        <w:jc w:val="both"/>
        <w:rPr>
          <w:rFonts w:ascii="Arial" w:hAnsi="Arial" w:cs="Arial"/>
        </w:rPr>
      </w:pPr>
      <w:r w:rsidRPr="00A24D13">
        <w:rPr>
          <w:rFonts w:ascii="Arial" w:hAnsi="Arial" w:cs="Arial"/>
        </w:rPr>
        <w:t xml:space="preserve">Nuestra estrategia completa tiene un costo de USD 800.370, equivalente al 8,00% del portafolio, esta reduce el costo de proteger LLY, pero limita la protección ante caídas superiores a aproximadamente 25% desde el nivel de referencia de la </w:t>
      </w:r>
      <w:proofErr w:type="spellStart"/>
      <w:r w:rsidRPr="00234F89">
        <w:rPr>
          <w:rFonts w:ascii="Arial" w:hAnsi="Arial" w:cs="Arial"/>
          <w:i/>
        </w:rPr>
        <w:t>put</w:t>
      </w:r>
      <w:proofErr w:type="spellEnd"/>
      <w:r w:rsidRPr="00A24D13">
        <w:rPr>
          <w:rFonts w:ascii="Arial" w:hAnsi="Arial" w:cs="Arial"/>
        </w:rPr>
        <w:t xml:space="preserve"> comprada, por lo que se acepta una mayor exposición en escenarios extremos a cambio de disminuir el costo de la cobertura.</w:t>
      </w:r>
    </w:p>
    <w:p w14:paraId="1E87C888" w14:textId="0FD2FFFE" w:rsidR="00A24D13" w:rsidRPr="009D0A5D" w:rsidRDefault="00A24D13" w:rsidP="00234F89">
      <w:pPr>
        <w:pStyle w:val="Ttulo1"/>
        <w:rPr>
          <w:rFonts w:ascii="Arial" w:hAnsi="Arial" w:cs="Arial"/>
          <w:b/>
          <w:color w:val="auto"/>
          <w:sz w:val="22"/>
          <w:szCs w:val="22"/>
        </w:rPr>
      </w:pPr>
      <w:bookmarkStart w:id="2" w:name="_Toc241594185"/>
      <w:r w:rsidRPr="009D0A5D">
        <w:rPr>
          <w:rFonts w:ascii="Arial" w:hAnsi="Arial" w:cs="Arial"/>
          <w:b/>
          <w:color w:val="auto"/>
          <w:sz w:val="22"/>
          <w:szCs w:val="22"/>
        </w:rPr>
        <w:t>Fuentes y preparación de los datos</w:t>
      </w:r>
      <w:bookmarkEnd w:id="2"/>
    </w:p>
    <w:p w14:paraId="2CB35F2F" w14:textId="77777777" w:rsidR="00234F89" w:rsidRPr="00234F89" w:rsidRDefault="00234F89" w:rsidP="00234F89"/>
    <w:p w14:paraId="5790872C" w14:textId="58EE2E3B" w:rsidR="00234F89" w:rsidRPr="00234F89" w:rsidRDefault="00234F89" w:rsidP="00234F89">
      <w:pPr>
        <w:spacing w:line="360" w:lineRule="auto"/>
        <w:jc w:val="both"/>
        <w:rPr>
          <w:rFonts w:ascii="Arial" w:hAnsi="Arial" w:cs="Arial"/>
        </w:rPr>
      </w:pPr>
      <w:r w:rsidRPr="00234F89">
        <w:rPr>
          <w:rFonts w:ascii="Arial" w:hAnsi="Arial" w:cs="Arial"/>
        </w:rPr>
        <w:t xml:space="preserve">Los precios diarios de LLY, ORCL y GD fueron obtenidos mediante </w:t>
      </w:r>
      <w:proofErr w:type="spellStart"/>
      <w:r w:rsidRPr="00234F89">
        <w:rPr>
          <w:rFonts w:ascii="Arial" w:hAnsi="Arial" w:cs="Arial"/>
          <w:i/>
        </w:rPr>
        <w:t>Yahoo</w:t>
      </w:r>
      <w:proofErr w:type="spellEnd"/>
      <w:r w:rsidRPr="00234F89">
        <w:rPr>
          <w:rFonts w:ascii="Arial" w:hAnsi="Arial" w:cs="Arial"/>
          <w:i/>
        </w:rPr>
        <w:t xml:space="preserve"> </w:t>
      </w:r>
      <w:proofErr w:type="spellStart"/>
      <w:r w:rsidRPr="00234F89">
        <w:rPr>
          <w:rFonts w:ascii="Arial" w:hAnsi="Arial" w:cs="Arial"/>
          <w:i/>
        </w:rPr>
        <w:t>Finance</w:t>
      </w:r>
      <w:proofErr w:type="spellEnd"/>
      <w:r w:rsidRPr="00234F89">
        <w:rPr>
          <w:rFonts w:ascii="Arial" w:hAnsi="Arial" w:cs="Arial"/>
        </w:rPr>
        <w:t xml:space="preserve">, utilizando la librería </w:t>
      </w:r>
      <w:proofErr w:type="spellStart"/>
      <w:r w:rsidRPr="00234F89">
        <w:rPr>
          <w:rFonts w:ascii="Arial" w:hAnsi="Arial" w:cs="Arial"/>
          <w:i/>
        </w:rPr>
        <w:t>yfinance</w:t>
      </w:r>
      <w:proofErr w:type="spellEnd"/>
      <w:r w:rsidRPr="00234F89">
        <w:rPr>
          <w:rFonts w:ascii="Arial" w:hAnsi="Arial" w:cs="Arial"/>
        </w:rPr>
        <w:t xml:space="preserve"> de Python, para el periodo comprendido entre el 1 de octubre de 2021 y la fecha de valoración</w:t>
      </w:r>
      <w:r>
        <w:rPr>
          <w:rFonts w:ascii="Arial" w:hAnsi="Arial" w:cs="Arial"/>
        </w:rPr>
        <w:t xml:space="preserve"> </w:t>
      </w:r>
      <w:sdt>
        <w:sdtPr>
          <w:rPr>
            <w:rFonts w:ascii="Arial" w:hAnsi="Arial" w:cs="Arial"/>
          </w:rPr>
          <w:tag w:val="MENDELEY_CITATION_v3_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"/>
          <w:id w:val="-1338224037"/>
          <w:placeholder>
            <w:docPart w:val="DefaultPlaceholder_-1854013440"/>
          </w:placeholder>
        </w:sdtPr>
        <w:sdtContent>
          <w:r w:rsidRPr="00234F89">
            <w:rPr>
              <w:rFonts w:ascii="Arial" w:hAnsi="Arial" w:cs="Arial"/>
              <w:color w:val="000000"/>
            </w:rPr>
            <w:t>(</w:t>
          </w:r>
          <w:proofErr w:type="spellStart"/>
          <w:r w:rsidRPr="00234F89">
            <w:rPr>
              <w:rFonts w:ascii="Arial" w:hAnsi="Arial" w:cs="Arial"/>
              <w:color w:val="000000"/>
            </w:rPr>
            <w:t>Yahoo</w:t>
          </w:r>
          <w:proofErr w:type="spellEnd"/>
          <w:r w:rsidRPr="00234F89">
            <w:rPr>
              <w:rFonts w:ascii="Arial" w:hAnsi="Arial" w:cs="Arial"/>
              <w:color w:val="000000"/>
            </w:rPr>
            <w:t xml:space="preserve"> </w:t>
          </w:r>
          <w:proofErr w:type="spellStart"/>
          <w:r w:rsidRPr="00234F89">
            <w:rPr>
              <w:rFonts w:ascii="Arial" w:hAnsi="Arial" w:cs="Arial"/>
              <w:color w:val="000000"/>
            </w:rPr>
            <w:t>Finance</w:t>
          </w:r>
          <w:proofErr w:type="spellEnd"/>
          <w:r w:rsidRPr="00234F89">
            <w:rPr>
              <w:rFonts w:ascii="Arial" w:hAnsi="Arial" w:cs="Arial"/>
              <w:color w:val="000000"/>
            </w:rPr>
            <w:t>, 2026)</w:t>
          </w:r>
        </w:sdtContent>
      </w:sdt>
      <w:r w:rsidRPr="00234F89">
        <w:rPr>
          <w:rFonts w:ascii="Arial" w:hAnsi="Arial" w:cs="Arial"/>
        </w:rPr>
        <w:t>.</w:t>
      </w:r>
    </w:p>
    <w:p w14:paraId="21756842" w14:textId="36CE15F8" w:rsidR="00234F89" w:rsidRPr="00234F89" w:rsidRDefault="00234F89" w:rsidP="00234F89">
      <w:pPr>
        <w:spacing w:line="360" w:lineRule="auto"/>
        <w:jc w:val="both"/>
        <w:rPr>
          <w:rFonts w:ascii="Arial" w:hAnsi="Arial" w:cs="Arial"/>
        </w:rPr>
      </w:pPr>
      <w:r w:rsidRPr="00234F89">
        <w:rPr>
          <w:rFonts w:ascii="Arial" w:hAnsi="Arial" w:cs="Arial"/>
        </w:rPr>
        <w:t>Para el cálculo de los retornos se utilizaron los precios ajustados, mientras que para la valoración de las opciones se utilizó el precio de cierre sin ajuste (spot)</w:t>
      </w:r>
      <w:r>
        <w:rPr>
          <w:rFonts w:ascii="Arial" w:hAnsi="Arial" w:cs="Arial"/>
        </w:rPr>
        <w:t>, l</w:t>
      </w:r>
      <w:r w:rsidRPr="00234F89">
        <w:rPr>
          <w:rFonts w:ascii="Arial" w:hAnsi="Arial" w:cs="Arial"/>
        </w:rPr>
        <w:t>os dividendos se trataron de forma independiente mediante el rendimiento por dividendos.</w:t>
      </w:r>
      <w:r>
        <w:rPr>
          <w:rFonts w:ascii="Arial" w:hAnsi="Arial" w:cs="Arial"/>
        </w:rPr>
        <w:t xml:space="preserve"> </w:t>
      </w:r>
      <w:r w:rsidRPr="00234F89">
        <w:rPr>
          <w:rFonts w:ascii="Arial" w:hAnsi="Arial" w:cs="Arial"/>
        </w:rPr>
        <w:t>Los datos fueron depurados y alineados por fecha para las tres acciones</w:t>
      </w:r>
      <w:r>
        <w:rPr>
          <w:rFonts w:ascii="Arial" w:hAnsi="Arial" w:cs="Arial"/>
        </w:rPr>
        <w:t xml:space="preserve"> y a</w:t>
      </w:r>
      <w:r w:rsidRPr="00234F89">
        <w:rPr>
          <w:rFonts w:ascii="Arial" w:hAnsi="Arial" w:cs="Arial"/>
        </w:rPr>
        <w:t xml:space="preserve"> partir de los precios ajustados se calcularon los retornos logarítmicos diarios, utilizados posteriormente para estimar los retornos esperados, volatilidades y matriz de covarianzas del portafolio.</w:t>
      </w:r>
    </w:p>
    <w:p w14:paraId="5A24DD1A" w14:textId="67AD792D" w:rsidR="00A24D13" w:rsidRDefault="00234F89" w:rsidP="00234F89">
      <w:pPr>
        <w:spacing w:line="360" w:lineRule="auto"/>
        <w:jc w:val="both"/>
        <w:rPr>
          <w:rFonts w:ascii="Arial" w:hAnsi="Arial" w:cs="Arial"/>
        </w:rPr>
      </w:pPr>
      <w:r w:rsidRPr="00234F89">
        <w:rPr>
          <w:rFonts w:ascii="Arial" w:hAnsi="Arial" w:cs="Arial"/>
        </w:rPr>
        <w:t>La tasa libre de riesgo utilizada en el análisis se obtuv</w:t>
      </w:r>
      <w:r>
        <w:rPr>
          <w:rFonts w:ascii="Arial" w:hAnsi="Arial" w:cs="Arial"/>
        </w:rPr>
        <w:t>o</w:t>
      </w:r>
      <w:r w:rsidRPr="00234F89">
        <w:rPr>
          <w:rFonts w:ascii="Arial" w:hAnsi="Arial" w:cs="Arial"/>
        </w:rPr>
        <w:t xml:space="preserve"> de U.S. </w:t>
      </w:r>
      <w:proofErr w:type="spellStart"/>
      <w:r w:rsidRPr="00234F89">
        <w:rPr>
          <w:rFonts w:ascii="Arial" w:hAnsi="Arial" w:cs="Arial"/>
        </w:rPr>
        <w:t>Treasury</w:t>
      </w:r>
      <w:proofErr w:type="spellEnd"/>
      <w:r w:rsidRPr="00234F89">
        <w:rPr>
          <w:rFonts w:ascii="Arial" w:hAnsi="Arial" w:cs="Arial"/>
        </w:rPr>
        <w:t>/FRED, utilizando el plazo correspondiente al horizonte o vencimiento de cada cálculo</w:t>
      </w:r>
      <w:r>
        <w:rPr>
          <w:rFonts w:ascii="Arial" w:hAnsi="Arial" w:cs="Arial"/>
        </w:rPr>
        <w:t xml:space="preserve"> </w:t>
      </w:r>
      <w:sdt>
        <w:sdtPr>
          <w:rPr>
            <w:rFonts w:ascii="Arial" w:hAnsi="Arial" w:cs="Arial"/>
          </w:rPr>
          <w:tag w:val="MENDELEY_CITATION_v3_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"/>
          <w:id w:val="-1142806879"/>
          <w:placeholder>
            <w:docPart w:val="DefaultPlaceholder_-1854013440"/>
          </w:placeholder>
        </w:sdtPr>
        <w:sdtContent>
          <w:r w:rsidRPr="00234F89">
            <w:rPr>
              <w:rFonts w:ascii="Arial" w:hAnsi="Arial" w:cs="Arial"/>
              <w:color w:val="000000"/>
            </w:rPr>
            <w:t>(FRED, 2026)</w:t>
          </w:r>
        </w:sdtContent>
      </w:sdt>
      <w:r w:rsidRPr="00234F89">
        <w:rPr>
          <w:rFonts w:ascii="Arial" w:hAnsi="Arial" w:cs="Arial"/>
        </w:rPr>
        <w:t>.</w:t>
      </w:r>
    </w:p>
    <w:p w14:paraId="02E9085D" w14:textId="77777777" w:rsidR="00947D8A" w:rsidRDefault="00947D8A" w:rsidP="00234F89">
      <w:pPr>
        <w:pStyle w:val="Ttulo1"/>
        <w:rPr>
          <w:rFonts w:ascii="Arial" w:hAnsi="Arial" w:cs="Arial"/>
          <w:color w:val="auto"/>
          <w:sz w:val="22"/>
          <w:szCs w:val="22"/>
        </w:rPr>
      </w:pPr>
    </w:p>
    <w:p w14:paraId="5B31AC83" w14:textId="6C39DD3B" w:rsidR="00234F89" w:rsidRPr="00947D8A" w:rsidRDefault="00234F89" w:rsidP="00234F89">
      <w:pPr>
        <w:pStyle w:val="Ttulo1"/>
        <w:rPr>
          <w:rFonts w:ascii="Arial" w:hAnsi="Arial" w:cs="Arial"/>
          <w:b/>
          <w:color w:val="auto"/>
          <w:sz w:val="22"/>
          <w:szCs w:val="22"/>
        </w:rPr>
      </w:pPr>
      <w:bookmarkStart w:id="3" w:name="_Toc241594186"/>
      <w:r w:rsidRPr="00947D8A">
        <w:rPr>
          <w:rFonts w:ascii="Arial" w:hAnsi="Arial" w:cs="Arial"/>
          <w:b/>
          <w:color w:val="auto"/>
          <w:sz w:val="22"/>
          <w:szCs w:val="22"/>
        </w:rPr>
        <w:t>Construcción del portafolio media-varianza</w:t>
      </w:r>
      <w:bookmarkEnd w:id="3"/>
    </w:p>
    <w:p w14:paraId="7B229BE9" w14:textId="2CDB964B" w:rsidR="00234F89" w:rsidRPr="00947D8A" w:rsidRDefault="00234F89" w:rsidP="00234F89">
      <w:pPr>
        <w:spacing w:line="360" w:lineRule="auto"/>
        <w:jc w:val="both"/>
        <w:rPr>
          <w:rFonts w:ascii="Arial" w:hAnsi="Arial" w:cs="Arial"/>
        </w:rPr>
      </w:pPr>
    </w:p>
    <w:p w14:paraId="7F2173F7" w14:textId="71874ED7" w:rsidR="00234F89" w:rsidRPr="00947D8A" w:rsidRDefault="00946229" w:rsidP="00234F89">
      <w:pPr>
        <w:spacing w:line="360" w:lineRule="auto"/>
        <w:jc w:val="both"/>
        <w:rPr>
          <w:rFonts w:ascii="Arial" w:hAnsi="Arial" w:cs="Arial"/>
        </w:rPr>
      </w:pPr>
      <w:r w:rsidRPr="00947D8A">
        <w:rPr>
          <w:rFonts w:ascii="Arial" w:hAnsi="Arial" w:cs="Arial"/>
        </w:rPr>
        <w:t>Se evaluaron tres alternativas de configuración del portafolio: pesos iguales, mínima varianza y máximo Sharpe</w:t>
      </w:r>
      <w:r w:rsidR="009F2592" w:rsidRPr="00947D8A">
        <w:rPr>
          <w:rFonts w:ascii="Arial" w:hAnsi="Arial" w:cs="Arial"/>
        </w:rPr>
        <w:t>, además</w:t>
      </w:r>
      <w:r w:rsidRPr="00947D8A">
        <w:rPr>
          <w:rFonts w:ascii="Arial" w:hAnsi="Arial" w:cs="Arial"/>
        </w:rPr>
        <w:t>, se realizó un análisis de sensibilidad del máximo Sharpe eliminando el límite de participación del 50%</w:t>
      </w:r>
      <w:r w:rsidR="009F2592" w:rsidRPr="00947D8A">
        <w:rPr>
          <w:rFonts w:ascii="Arial" w:hAnsi="Arial" w:cs="Arial"/>
        </w:rPr>
        <w:t>, esta</w:t>
      </w:r>
      <w:r w:rsidRPr="00947D8A">
        <w:rPr>
          <w:rFonts w:ascii="Arial" w:hAnsi="Arial" w:cs="Arial"/>
        </w:rPr>
        <w:t xml:space="preserve"> comparación consideró el retorno esperado, la volatilidad, el índice de Sharpe y la máxima contribución de un activo al riesgo total.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1764"/>
        <w:gridCol w:w="1193"/>
        <w:gridCol w:w="826"/>
        <w:gridCol w:w="2610"/>
      </w:tblGrid>
      <w:tr w:rsidR="009F2592" w:rsidRPr="009F2592" w14:paraId="487B4DE9" w14:textId="77777777" w:rsidTr="009F2592">
        <w:trPr>
          <w:tblHeader/>
          <w:tblCellSpacing w:w="15" w:type="dxa"/>
        </w:trPr>
        <w:tc>
          <w:tcPr>
            <w:tcW w:w="0" w:type="auto"/>
            <w:vAlign w:val="center"/>
            <w:hideMark/>
          </w:tcPr>
          <w:p w14:paraId="452D209D" w14:textId="77777777" w:rsidR="009F2592" w:rsidRPr="009F2592" w:rsidRDefault="009F2592" w:rsidP="009F2592">
            <w:pPr>
              <w:spacing w:after="0" w:line="240" w:lineRule="auto"/>
              <w:jc w:val="center"/>
              <w:rPr>
                <w:rFonts w:ascii="Arial" w:eastAsia="Times New Roman" w:hAnsi="Arial" w:cs="Arial"/>
                <w:b/>
                <w:bCs/>
                <w:lang w:eastAsia="es-CO"/>
              </w:rPr>
            </w:pPr>
            <w:r w:rsidRPr="009F2592">
              <w:rPr>
                <w:rFonts w:ascii="Arial" w:eastAsia="Times New Roman" w:hAnsi="Arial" w:cs="Arial"/>
                <w:b/>
                <w:bCs/>
                <w:lang w:eastAsia="es-CO"/>
              </w:rPr>
              <w:t>Configuración</w:t>
            </w:r>
          </w:p>
        </w:tc>
        <w:tc>
          <w:tcPr>
            <w:tcW w:w="0" w:type="auto"/>
            <w:vAlign w:val="center"/>
            <w:hideMark/>
          </w:tcPr>
          <w:p w14:paraId="6F48F69B" w14:textId="77777777" w:rsidR="009F2592" w:rsidRPr="009F2592" w:rsidRDefault="009F2592" w:rsidP="009F2592">
            <w:pPr>
              <w:spacing w:after="0" w:line="240" w:lineRule="auto"/>
              <w:jc w:val="center"/>
              <w:rPr>
                <w:rFonts w:ascii="Arial" w:eastAsia="Times New Roman" w:hAnsi="Arial" w:cs="Arial"/>
                <w:b/>
                <w:bCs/>
                <w:lang w:eastAsia="es-CO"/>
              </w:rPr>
            </w:pPr>
            <w:r w:rsidRPr="009F2592">
              <w:rPr>
                <w:rFonts w:ascii="Arial" w:eastAsia="Times New Roman" w:hAnsi="Arial" w:cs="Arial"/>
                <w:b/>
                <w:bCs/>
                <w:lang w:eastAsia="es-CO"/>
              </w:rPr>
              <w:t>Retorno esperado</w:t>
            </w:r>
          </w:p>
        </w:tc>
        <w:tc>
          <w:tcPr>
            <w:tcW w:w="0" w:type="auto"/>
            <w:vAlign w:val="center"/>
            <w:hideMark/>
          </w:tcPr>
          <w:p w14:paraId="5D2994C3" w14:textId="77777777" w:rsidR="009F2592" w:rsidRPr="009F2592" w:rsidRDefault="009F2592" w:rsidP="009F2592">
            <w:pPr>
              <w:spacing w:after="0" w:line="240" w:lineRule="auto"/>
              <w:jc w:val="center"/>
              <w:rPr>
                <w:rFonts w:ascii="Arial" w:eastAsia="Times New Roman" w:hAnsi="Arial" w:cs="Arial"/>
                <w:b/>
                <w:bCs/>
                <w:lang w:eastAsia="es-CO"/>
              </w:rPr>
            </w:pPr>
            <w:r w:rsidRPr="009F2592">
              <w:rPr>
                <w:rFonts w:ascii="Arial" w:eastAsia="Times New Roman" w:hAnsi="Arial" w:cs="Arial"/>
                <w:b/>
                <w:bCs/>
                <w:lang w:eastAsia="es-CO"/>
              </w:rPr>
              <w:t>Volatilidad</w:t>
            </w:r>
          </w:p>
        </w:tc>
        <w:tc>
          <w:tcPr>
            <w:tcW w:w="0" w:type="auto"/>
            <w:vAlign w:val="center"/>
            <w:hideMark/>
          </w:tcPr>
          <w:p w14:paraId="1F3CF1CE" w14:textId="77777777" w:rsidR="009F2592" w:rsidRPr="009F2592" w:rsidRDefault="009F2592" w:rsidP="009F2592">
            <w:pPr>
              <w:spacing w:after="0" w:line="240" w:lineRule="auto"/>
              <w:jc w:val="center"/>
              <w:rPr>
                <w:rFonts w:ascii="Arial" w:eastAsia="Times New Roman" w:hAnsi="Arial" w:cs="Arial"/>
                <w:b/>
                <w:bCs/>
                <w:lang w:eastAsia="es-CO"/>
              </w:rPr>
            </w:pPr>
            <w:r w:rsidRPr="009F2592">
              <w:rPr>
                <w:rFonts w:ascii="Arial" w:eastAsia="Times New Roman" w:hAnsi="Arial" w:cs="Arial"/>
                <w:b/>
                <w:bCs/>
                <w:lang w:eastAsia="es-CO"/>
              </w:rPr>
              <w:t>Sharpe</w:t>
            </w:r>
          </w:p>
        </w:tc>
        <w:tc>
          <w:tcPr>
            <w:tcW w:w="0" w:type="auto"/>
            <w:vAlign w:val="center"/>
            <w:hideMark/>
          </w:tcPr>
          <w:p w14:paraId="00153412" w14:textId="77777777" w:rsidR="009F2592" w:rsidRPr="009F2592" w:rsidRDefault="009F2592" w:rsidP="009F2592">
            <w:pPr>
              <w:spacing w:after="0" w:line="240" w:lineRule="auto"/>
              <w:jc w:val="center"/>
              <w:rPr>
                <w:rFonts w:ascii="Arial" w:eastAsia="Times New Roman" w:hAnsi="Arial" w:cs="Arial"/>
                <w:b/>
                <w:bCs/>
                <w:lang w:eastAsia="es-CO"/>
              </w:rPr>
            </w:pPr>
            <w:r w:rsidRPr="009F2592">
              <w:rPr>
                <w:rFonts w:ascii="Arial" w:eastAsia="Times New Roman" w:hAnsi="Arial" w:cs="Arial"/>
                <w:b/>
                <w:bCs/>
                <w:lang w:eastAsia="es-CO"/>
              </w:rPr>
              <w:t>Máx. contribución al riesgo</w:t>
            </w:r>
          </w:p>
        </w:tc>
      </w:tr>
      <w:tr w:rsidR="009F2592" w:rsidRPr="009F2592" w14:paraId="23345B7B" w14:textId="77777777" w:rsidTr="009F2592">
        <w:trPr>
          <w:tblCellSpacing w:w="15" w:type="dxa"/>
        </w:trPr>
        <w:tc>
          <w:tcPr>
            <w:tcW w:w="0" w:type="auto"/>
            <w:vAlign w:val="center"/>
            <w:hideMark/>
          </w:tcPr>
          <w:p w14:paraId="3D68C667" w14:textId="77777777" w:rsidR="009F2592" w:rsidRPr="009F2592" w:rsidRDefault="009F2592" w:rsidP="009F2592">
            <w:pPr>
              <w:spacing w:after="0" w:line="240" w:lineRule="auto"/>
              <w:rPr>
                <w:rFonts w:ascii="Arial" w:eastAsia="Times New Roman" w:hAnsi="Arial" w:cs="Arial"/>
                <w:lang w:eastAsia="es-CO"/>
              </w:rPr>
            </w:pPr>
            <w:r w:rsidRPr="009F2592">
              <w:rPr>
                <w:rFonts w:ascii="Arial" w:eastAsia="Times New Roman" w:hAnsi="Arial" w:cs="Arial"/>
                <w:lang w:eastAsia="es-CO"/>
              </w:rPr>
              <w:t>Pesos iguales</w:t>
            </w:r>
          </w:p>
        </w:tc>
        <w:tc>
          <w:tcPr>
            <w:tcW w:w="0" w:type="auto"/>
            <w:vAlign w:val="center"/>
            <w:hideMark/>
          </w:tcPr>
          <w:p w14:paraId="77902DF6" w14:textId="365D7F88"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18,89%</w:t>
            </w:r>
          </w:p>
        </w:tc>
        <w:tc>
          <w:tcPr>
            <w:tcW w:w="0" w:type="auto"/>
            <w:vAlign w:val="center"/>
            <w:hideMark/>
          </w:tcPr>
          <w:p w14:paraId="714040AF" w14:textId="264B7D15"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21,80%</w:t>
            </w:r>
          </w:p>
        </w:tc>
        <w:tc>
          <w:tcPr>
            <w:tcW w:w="0" w:type="auto"/>
            <w:vAlign w:val="center"/>
            <w:hideMark/>
          </w:tcPr>
          <w:p w14:paraId="48FE5F67" w14:textId="77777777"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0,646</w:t>
            </w:r>
          </w:p>
        </w:tc>
        <w:tc>
          <w:tcPr>
            <w:tcW w:w="0" w:type="auto"/>
            <w:vAlign w:val="center"/>
            <w:hideMark/>
          </w:tcPr>
          <w:p w14:paraId="619EC690" w14:textId="29EA24A8"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51,03%</w:t>
            </w:r>
          </w:p>
        </w:tc>
      </w:tr>
      <w:tr w:rsidR="009F2592" w:rsidRPr="009F2592" w14:paraId="4757F6BD" w14:textId="77777777" w:rsidTr="009F2592">
        <w:trPr>
          <w:tblCellSpacing w:w="15" w:type="dxa"/>
        </w:trPr>
        <w:tc>
          <w:tcPr>
            <w:tcW w:w="0" w:type="auto"/>
            <w:vAlign w:val="center"/>
            <w:hideMark/>
          </w:tcPr>
          <w:p w14:paraId="2AA63701" w14:textId="77777777" w:rsidR="009F2592" w:rsidRPr="009F2592" w:rsidRDefault="009F2592" w:rsidP="009F2592">
            <w:pPr>
              <w:spacing w:after="0" w:line="240" w:lineRule="auto"/>
              <w:rPr>
                <w:rFonts w:ascii="Arial" w:eastAsia="Times New Roman" w:hAnsi="Arial" w:cs="Arial"/>
                <w:lang w:eastAsia="es-CO"/>
              </w:rPr>
            </w:pPr>
            <w:r w:rsidRPr="009F2592">
              <w:rPr>
                <w:rFonts w:ascii="Arial" w:eastAsia="Times New Roman" w:hAnsi="Arial" w:cs="Arial"/>
                <w:b/>
                <w:bCs/>
                <w:lang w:eastAsia="es-CO"/>
              </w:rPr>
              <w:t>Mínima varianza</w:t>
            </w:r>
          </w:p>
        </w:tc>
        <w:tc>
          <w:tcPr>
            <w:tcW w:w="0" w:type="auto"/>
            <w:vAlign w:val="center"/>
            <w:hideMark/>
          </w:tcPr>
          <w:p w14:paraId="4598F97B" w14:textId="3BF264FD"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b/>
                <w:bCs/>
                <w:lang w:eastAsia="es-CO"/>
              </w:rPr>
              <w:t>19,33%</w:t>
            </w:r>
          </w:p>
        </w:tc>
        <w:tc>
          <w:tcPr>
            <w:tcW w:w="0" w:type="auto"/>
            <w:vAlign w:val="center"/>
            <w:hideMark/>
          </w:tcPr>
          <w:p w14:paraId="18A7AE8A" w14:textId="390A5057"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b/>
                <w:bCs/>
                <w:lang w:eastAsia="es-CO"/>
              </w:rPr>
              <w:t>19,15%</w:t>
            </w:r>
          </w:p>
        </w:tc>
        <w:tc>
          <w:tcPr>
            <w:tcW w:w="0" w:type="auto"/>
            <w:vAlign w:val="center"/>
            <w:hideMark/>
          </w:tcPr>
          <w:p w14:paraId="73DFA937" w14:textId="77777777"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b/>
                <w:bCs/>
                <w:lang w:eastAsia="es-CO"/>
              </w:rPr>
              <w:t>0,758</w:t>
            </w:r>
          </w:p>
        </w:tc>
        <w:tc>
          <w:tcPr>
            <w:tcW w:w="0" w:type="auto"/>
            <w:vAlign w:val="center"/>
            <w:hideMark/>
          </w:tcPr>
          <w:p w14:paraId="666B8EF3" w14:textId="168CFBDA"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b/>
                <w:bCs/>
                <w:lang w:eastAsia="es-CO"/>
              </w:rPr>
              <w:t>40,59%</w:t>
            </w:r>
          </w:p>
        </w:tc>
      </w:tr>
      <w:tr w:rsidR="009F2592" w:rsidRPr="009F2592" w14:paraId="672F500C" w14:textId="77777777" w:rsidTr="009F2592">
        <w:trPr>
          <w:tblCellSpacing w:w="15" w:type="dxa"/>
        </w:trPr>
        <w:tc>
          <w:tcPr>
            <w:tcW w:w="0" w:type="auto"/>
            <w:vAlign w:val="center"/>
            <w:hideMark/>
          </w:tcPr>
          <w:p w14:paraId="14A1912C" w14:textId="77777777" w:rsidR="009F2592" w:rsidRPr="009F2592" w:rsidRDefault="009F2592" w:rsidP="009F2592">
            <w:pPr>
              <w:spacing w:after="0" w:line="240" w:lineRule="auto"/>
              <w:rPr>
                <w:rFonts w:ascii="Arial" w:eastAsia="Times New Roman" w:hAnsi="Arial" w:cs="Arial"/>
                <w:lang w:eastAsia="es-CO"/>
              </w:rPr>
            </w:pPr>
            <w:r w:rsidRPr="009F2592">
              <w:rPr>
                <w:rFonts w:ascii="Arial" w:eastAsia="Times New Roman" w:hAnsi="Arial" w:cs="Arial"/>
                <w:lang w:eastAsia="es-CO"/>
              </w:rPr>
              <w:t>Máximo Sharpe</w:t>
            </w:r>
          </w:p>
        </w:tc>
        <w:tc>
          <w:tcPr>
            <w:tcW w:w="0" w:type="auto"/>
            <w:vAlign w:val="center"/>
            <w:hideMark/>
          </w:tcPr>
          <w:p w14:paraId="154AF6AA" w14:textId="5D191CEB"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22,95%</w:t>
            </w:r>
          </w:p>
        </w:tc>
        <w:tc>
          <w:tcPr>
            <w:tcW w:w="0" w:type="auto"/>
            <w:vAlign w:val="center"/>
            <w:hideMark/>
          </w:tcPr>
          <w:p w14:paraId="77E59BA4" w14:textId="5BB8FEE8"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21,21%</w:t>
            </w:r>
          </w:p>
        </w:tc>
        <w:tc>
          <w:tcPr>
            <w:tcW w:w="0" w:type="auto"/>
            <w:vAlign w:val="center"/>
            <w:hideMark/>
          </w:tcPr>
          <w:p w14:paraId="3E90D226" w14:textId="77777777"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0,855</w:t>
            </w:r>
          </w:p>
        </w:tc>
        <w:tc>
          <w:tcPr>
            <w:tcW w:w="0" w:type="auto"/>
            <w:vAlign w:val="center"/>
            <w:hideMark/>
          </w:tcPr>
          <w:p w14:paraId="54DAC11D" w14:textId="39A6A43A"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67,30%</w:t>
            </w:r>
          </w:p>
        </w:tc>
      </w:tr>
      <w:tr w:rsidR="009F2592" w:rsidRPr="009F2592" w14:paraId="408A8A03" w14:textId="77777777" w:rsidTr="009F2592">
        <w:trPr>
          <w:tblCellSpacing w:w="15" w:type="dxa"/>
        </w:trPr>
        <w:tc>
          <w:tcPr>
            <w:tcW w:w="0" w:type="auto"/>
            <w:vAlign w:val="center"/>
            <w:hideMark/>
          </w:tcPr>
          <w:p w14:paraId="1D1EC663" w14:textId="48504603" w:rsidR="009F2592" w:rsidRPr="009F2592" w:rsidRDefault="009F2592" w:rsidP="009F2592">
            <w:pPr>
              <w:spacing w:after="0" w:line="240" w:lineRule="auto"/>
              <w:rPr>
                <w:rFonts w:ascii="Arial" w:eastAsia="Times New Roman" w:hAnsi="Arial" w:cs="Arial"/>
                <w:lang w:eastAsia="es-CO"/>
              </w:rPr>
            </w:pPr>
            <w:r w:rsidRPr="009F2592">
              <w:rPr>
                <w:rFonts w:ascii="Arial" w:eastAsia="Times New Roman" w:hAnsi="Arial" w:cs="Arial"/>
                <w:lang w:eastAsia="es-CO"/>
              </w:rPr>
              <w:t>Máx. Sharpe sin tope 50%</w:t>
            </w:r>
          </w:p>
        </w:tc>
        <w:tc>
          <w:tcPr>
            <w:tcW w:w="0" w:type="auto"/>
            <w:vAlign w:val="center"/>
            <w:hideMark/>
          </w:tcPr>
          <w:p w14:paraId="40AD7844" w14:textId="27774980"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27,14%</w:t>
            </w:r>
          </w:p>
        </w:tc>
        <w:tc>
          <w:tcPr>
            <w:tcW w:w="0" w:type="auto"/>
            <w:vAlign w:val="center"/>
            <w:hideMark/>
          </w:tcPr>
          <w:p w14:paraId="59EB9A4C" w14:textId="6317FA4C"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25,35%</w:t>
            </w:r>
          </w:p>
        </w:tc>
        <w:tc>
          <w:tcPr>
            <w:tcW w:w="0" w:type="auto"/>
            <w:vAlign w:val="center"/>
            <w:hideMark/>
          </w:tcPr>
          <w:p w14:paraId="3E8B4E65" w14:textId="77777777"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0,881</w:t>
            </w:r>
          </w:p>
        </w:tc>
        <w:tc>
          <w:tcPr>
            <w:tcW w:w="0" w:type="auto"/>
            <w:vAlign w:val="center"/>
            <w:hideMark/>
          </w:tcPr>
          <w:p w14:paraId="014B4B0B" w14:textId="48F70A3B" w:rsidR="009F2592" w:rsidRPr="009F2592" w:rsidRDefault="009F2592" w:rsidP="009F2592">
            <w:pPr>
              <w:spacing w:after="0" w:line="240" w:lineRule="auto"/>
              <w:jc w:val="center"/>
              <w:rPr>
                <w:rFonts w:ascii="Arial" w:eastAsia="Times New Roman" w:hAnsi="Arial" w:cs="Arial"/>
                <w:lang w:eastAsia="es-CO"/>
              </w:rPr>
            </w:pPr>
            <w:r w:rsidRPr="009F2592">
              <w:rPr>
                <w:rFonts w:ascii="Arial" w:eastAsia="Times New Roman" w:hAnsi="Arial" w:cs="Arial"/>
                <w:lang w:eastAsia="es-CO"/>
              </w:rPr>
              <w:t>85,71%</w:t>
            </w:r>
          </w:p>
        </w:tc>
      </w:tr>
    </w:tbl>
    <w:p w14:paraId="7490922B" w14:textId="77777777" w:rsidR="00234F89" w:rsidRDefault="00234F89" w:rsidP="00234F89">
      <w:pPr>
        <w:spacing w:line="360" w:lineRule="auto"/>
        <w:jc w:val="both"/>
        <w:rPr>
          <w:rFonts w:ascii="Arial" w:hAnsi="Arial" w:cs="Arial"/>
          <w:sz w:val="18"/>
          <w:highlight w:val="yellow"/>
        </w:rPr>
      </w:pPr>
    </w:p>
    <w:p w14:paraId="456B7543" w14:textId="77777777" w:rsidR="009F2592" w:rsidRPr="00947D8A" w:rsidRDefault="009F2592" w:rsidP="009F2592">
      <w:pPr>
        <w:spacing w:line="360" w:lineRule="auto"/>
        <w:jc w:val="both"/>
        <w:rPr>
          <w:rFonts w:ascii="Arial" w:hAnsi="Arial" w:cs="Arial"/>
        </w:rPr>
      </w:pPr>
      <w:r w:rsidRPr="00947D8A">
        <w:rPr>
          <w:rFonts w:ascii="Arial" w:hAnsi="Arial" w:cs="Arial"/>
        </w:rPr>
        <w:t>Los resultados muestran que el portafolio de máxima relación Sharpe obtiene un mayor retorno esperado, de 22,95%, frente al 19,33% de la mínima varianza</w:t>
      </w:r>
      <w:r w:rsidRPr="00947D8A">
        <w:rPr>
          <w:rFonts w:ascii="Arial" w:hAnsi="Arial" w:cs="Arial"/>
        </w:rPr>
        <w:t>, s</w:t>
      </w:r>
      <w:r w:rsidRPr="00947D8A">
        <w:rPr>
          <w:rFonts w:ascii="Arial" w:hAnsi="Arial" w:cs="Arial"/>
        </w:rPr>
        <w:t>in embargo, este mayor retorno está acompañado por una volatilidad de 21,21%, y una concentración del 67,30% del riesgo en un solo activo</w:t>
      </w:r>
      <w:r w:rsidRPr="00947D8A">
        <w:rPr>
          <w:rFonts w:ascii="Arial" w:hAnsi="Arial" w:cs="Arial"/>
        </w:rPr>
        <w:t xml:space="preserve"> (LLY), c</w:t>
      </w:r>
      <w:r w:rsidRPr="00947D8A">
        <w:rPr>
          <w:rFonts w:ascii="Arial" w:hAnsi="Arial" w:cs="Arial"/>
        </w:rPr>
        <w:t>uando se elimina el límite máximo de participación, la concentración del riesgo aumenta hasta 85,71%.</w:t>
      </w:r>
    </w:p>
    <w:p w14:paraId="79C0C3A6" w14:textId="11F244E1" w:rsidR="009F2592" w:rsidRPr="00947D8A" w:rsidRDefault="009F2592" w:rsidP="009F2592">
      <w:pPr>
        <w:spacing w:line="360" w:lineRule="auto"/>
        <w:jc w:val="both"/>
        <w:rPr>
          <w:rFonts w:ascii="Arial" w:hAnsi="Arial" w:cs="Arial"/>
        </w:rPr>
      </w:pPr>
      <w:r w:rsidRPr="00947D8A">
        <w:rPr>
          <w:rFonts w:ascii="Arial" w:hAnsi="Arial" w:cs="Arial"/>
        </w:rPr>
        <w:t>La mínima varianza presenta una volatilidad de 19,15%, la menor entre las alternativas evaluadas, y reduce la máxima contribución individual al riesgo hasta 40,59%</w:t>
      </w:r>
      <w:r w:rsidRPr="00947D8A">
        <w:rPr>
          <w:rFonts w:ascii="Arial" w:hAnsi="Arial" w:cs="Arial"/>
        </w:rPr>
        <w:t xml:space="preserve">, comparado </w:t>
      </w:r>
      <w:r w:rsidRPr="00947D8A">
        <w:rPr>
          <w:rFonts w:ascii="Arial" w:hAnsi="Arial" w:cs="Arial"/>
        </w:rPr>
        <w:t>al máximo Sharpe, esto representa una reducción de 2,06 puntos porcentuales de volatilidad y de 26,71 puntos porcentuales en la máxima concentración del riesgo, a cambio de un menor retorno esperado.</w:t>
      </w:r>
    </w:p>
    <w:p w14:paraId="03F01829" w14:textId="714D7EBC" w:rsidR="00234F89" w:rsidRPr="00947D8A" w:rsidRDefault="009F2592" w:rsidP="009F2592">
      <w:pPr>
        <w:spacing w:line="360" w:lineRule="auto"/>
        <w:jc w:val="both"/>
        <w:rPr>
          <w:rFonts w:ascii="Arial" w:hAnsi="Arial" w:cs="Arial"/>
        </w:rPr>
      </w:pPr>
      <w:r w:rsidRPr="00947D8A">
        <w:rPr>
          <w:rFonts w:ascii="Arial" w:hAnsi="Arial" w:cs="Arial"/>
        </w:rPr>
        <w:t>La</w:t>
      </w:r>
      <w:r w:rsidRPr="00947D8A">
        <w:rPr>
          <w:rFonts w:ascii="Arial" w:hAnsi="Arial" w:cs="Arial"/>
        </w:rPr>
        <w:t xml:space="preserve"> selecci</w:t>
      </w:r>
      <w:r w:rsidRPr="00947D8A">
        <w:rPr>
          <w:rFonts w:ascii="Arial" w:hAnsi="Arial" w:cs="Arial"/>
        </w:rPr>
        <w:t xml:space="preserve">ón de </w:t>
      </w:r>
      <w:r w:rsidRPr="00947D8A">
        <w:rPr>
          <w:rFonts w:ascii="Arial" w:hAnsi="Arial" w:cs="Arial"/>
        </w:rPr>
        <w:t xml:space="preserve">la mínima varianza como criterio para </w:t>
      </w:r>
      <w:r w:rsidR="00947D8A" w:rsidRPr="00947D8A">
        <w:rPr>
          <w:rFonts w:ascii="Arial" w:hAnsi="Arial" w:cs="Arial"/>
        </w:rPr>
        <w:t>la configuración d</w:t>
      </w:r>
      <w:r w:rsidRPr="00947D8A">
        <w:rPr>
          <w:rFonts w:ascii="Arial" w:hAnsi="Arial" w:cs="Arial"/>
        </w:rPr>
        <w:t>el portafolio</w:t>
      </w:r>
      <w:r w:rsidR="00947D8A" w:rsidRPr="00947D8A">
        <w:rPr>
          <w:rFonts w:ascii="Arial" w:hAnsi="Arial" w:cs="Arial"/>
        </w:rPr>
        <w:t xml:space="preserve"> </w:t>
      </w:r>
      <w:r w:rsidRPr="00947D8A">
        <w:rPr>
          <w:rFonts w:ascii="Arial" w:hAnsi="Arial" w:cs="Arial"/>
        </w:rPr>
        <w:t>no se basa en obtener el mayor retorno esperado, sino en establecer una estructura inicial con menor riesgo total y menor concentración, antes de incorporar las estrategias de opciones como mecanismo de cobertura.</w:t>
      </w:r>
    </w:p>
    <w:p w14:paraId="630DFE49" w14:textId="77777777" w:rsidR="00234F89" w:rsidRPr="00947D8A" w:rsidRDefault="00234F89" w:rsidP="00947D8A">
      <w:pPr>
        <w:pStyle w:val="Ttulo1"/>
        <w:rPr>
          <w:rFonts w:ascii="Arial" w:hAnsi="Arial" w:cs="Arial"/>
          <w:b/>
          <w:color w:val="auto"/>
          <w:sz w:val="22"/>
          <w:szCs w:val="22"/>
        </w:rPr>
      </w:pPr>
      <w:bookmarkStart w:id="4" w:name="_Toc241594187"/>
      <w:r w:rsidRPr="00947D8A">
        <w:rPr>
          <w:rFonts w:ascii="Arial" w:hAnsi="Arial" w:cs="Arial"/>
          <w:b/>
          <w:color w:val="auto"/>
          <w:sz w:val="22"/>
          <w:szCs w:val="22"/>
        </w:rPr>
        <w:t>Simulación y métricas de riesgo</w:t>
      </w:r>
      <w:bookmarkEnd w:id="4"/>
    </w:p>
    <w:p w14:paraId="33795F27" w14:textId="77777777" w:rsidR="00947D8A" w:rsidRDefault="00947D8A" w:rsidP="00234F89">
      <w:pPr>
        <w:spacing w:line="360" w:lineRule="auto"/>
        <w:jc w:val="both"/>
        <w:rPr>
          <w:rFonts w:ascii="Arial" w:hAnsi="Arial" w:cs="Arial"/>
          <w:sz w:val="18"/>
          <w:highlight w:val="yellow"/>
        </w:rPr>
      </w:pPr>
    </w:p>
    <w:p w14:paraId="64656FFE" w14:textId="5FA4BD60" w:rsidR="00947D8A" w:rsidRPr="00900006" w:rsidRDefault="00947D8A" w:rsidP="00947D8A">
      <w:pPr>
        <w:spacing w:line="360" w:lineRule="auto"/>
        <w:jc w:val="both"/>
        <w:rPr>
          <w:rFonts w:ascii="Arial" w:hAnsi="Arial" w:cs="Arial"/>
        </w:rPr>
      </w:pPr>
      <w:r w:rsidRPr="00900006">
        <w:rPr>
          <w:rFonts w:ascii="Arial" w:hAnsi="Arial" w:cs="Arial"/>
        </w:rPr>
        <w:lastRenderedPageBreak/>
        <w:t>Se realizaron 10.000 simulaciones para el horizonte de dos años, utilizando MBG combinado con GARCH-t</w:t>
      </w:r>
      <w:r w:rsidRPr="00900006">
        <w:rPr>
          <w:rFonts w:ascii="Arial" w:hAnsi="Arial" w:cs="Arial"/>
        </w:rPr>
        <w:t xml:space="preserve"> obteniendo que l</w:t>
      </w:r>
      <w:r w:rsidRPr="00900006">
        <w:rPr>
          <w:rFonts w:ascii="Arial" w:hAnsi="Arial" w:cs="Arial"/>
        </w:rPr>
        <w:t>a mediana del valor final fue de USD 15,50 millones, equivalente a un crecimiento de 55,0% frente al capital inicial</w:t>
      </w:r>
      <w:r w:rsidR="00900006" w:rsidRPr="00900006">
        <w:rPr>
          <w:rFonts w:ascii="Arial" w:hAnsi="Arial" w:cs="Arial"/>
        </w:rPr>
        <w:t>, s</w:t>
      </w:r>
      <w:r w:rsidRPr="00900006">
        <w:rPr>
          <w:rFonts w:ascii="Arial" w:hAnsi="Arial" w:cs="Arial"/>
        </w:rPr>
        <w:t>in embargo, el escenario adverso representado por el percentil 5 alcanza USD 9,47 millones, y la probabilidad estimada de terminar por debajo del capital inicial es de 7,0%</w:t>
      </w:r>
      <w:r w:rsidR="00900006" w:rsidRPr="00900006">
        <w:rPr>
          <w:rFonts w:ascii="Arial" w:hAnsi="Arial" w:cs="Arial"/>
        </w:rPr>
        <w:t xml:space="preserve"> mostrando que </w:t>
      </w:r>
      <w:r w:rsidRPr="00900006">
        <w:rPr>
          <w:rFonts w:ascii="Arial" w:hAnsi="Arial" w:cs="Arial"/>
        </w:rPr>
        <w:t>aunque el escenario central es favorable, existe una exposición a pérdidas.</w:t>
      </w:r>
    </w:p>
    <w:p w14:paraId="1821B6D1" w14:textId="19E0DB7B" w:rsidR="00947D8A" w:rsidRPr="00900006" w:rsidRDefault="00947D8A" w:rsidP="00947D8A">
      <w:pPr>
        <w:spacing w:line="360" w:lineRule="auto"/>
        <w:jc w:val="both"/>
        <w:rPr>
          <w:rFonts w:ascii="Arial" w:hAnsi="Arial" w:cs="Arial"/>
        </w:rPr>
      </w:pPr>
      <w:r w:rsidRPr="00900006">
        <w:rPr>
          <w:rFonts w:ascii="Arial" w:hAnsi="Arial" w:cs="Arial"/>
        </w:rPr>
        <w:t>El VaR99 al vencimiento de la cobertura se estimó en USD 2,42 millones equivalente al 24,2% del capital inicial</w:t>
      </w:r>
      <w:r w:rsidR="00900006" w:rsidRPr="00900006">
        <w:rPr>
          <w:rFonts w:ascii="Arial" w:hAnsi="Arial" w:cs="Arial"/>
        </w:rPr>
        <w:t>, e</w:t>
      </w:r>
      <w:r w:rsidRPr="00900006">
        <w:rPr>
          <w:rFonts w:ascii="Arial" w:hAnsi="Arial" w:cs="Arial"/>
        </w:rPr>
        <w:t xml:space="preserve">ste resultado </w:t>
      </w:r>
      <w:r w:rsidR="00900006" w:rsidRPr="00900006">
        <w:rPr>
          <w:rFonts w:ascii="Arial" w:hAnsi="Arial" w:cs="Arial"/>
        </w:rPr>
        <w:t>lo utilizamos</w:t>
      </w:r>
      <w:r w:rsidRPr="00900006">
        <w:rPr>
          <w:rFonts w:ascii="Arial" w:hAnsi="Arial" w:cs="Arial"/>
        </w:rPr>
        <w:t xml:space="preserve"> como referencia para evaluar posteriormente la capacidad de las estrategias con opciones para reducir el riesgo y el costo asociado a dicha protección.</w:t>
      </w:r>
    </w:p>
    <w:p w14:paraId="6250B9D9" w14:textId="77777777" w:rsidR="00900006" w:rsidRPr="00947D8A" w:rsidRDefault="00900006" w:rsidP="00947D8A">
      <w:pPr>
        <w:spacing w:line="360" w:lineRule="auto"/>
        <w:jc w:val="both"/>
        <w:rPr>
          <w:rFonts w:ascii="Arial" w:hAnsi="Arial" w:cs="Arial"/>
          <w:sz w:val="18"/>
        </w:rPr>
      </w:pPr>
    </w:p>
    <w:p w14:paraId="198210F9" w14:textId="5D08065A" w:rsidR="00234F89" w:rsidRDefault="00234F89" w:rsidP="00900006">
      <w:pPr>
        <w:pStyle w:val="Ttulo1"/>
        <w:rPr>
          <w:rFonts w:ascii="Arial" w:hAnsi="Arial" w:cs="Arial"/>
          <w:b/>
          <w:color w:val="auto"/>
          <w:sz w:val="22"/>
          <w:szCs w:val="22"/>
        </w:rPr>
      </w:pPr>
      <w:bookmarkStart w:id="5" w:name="_Toc241594188"/>
      <w:r w:rsidRPr="00900006">
        <w:rPr>
          <w:rFonts w:ascii="Arial" w:hAnsi="Arial" w:cs="Arial"/>
          <w:b/>
          <w:color w:val="auto"/>
          <w:sz w:val="22"/>
          <w:szCs w:val="22"/>
        </w:rPr>
        <w:t>Selección de opciones y criterios de liquidez</w:t>
      </w:r>
      <w:bookmarkEnd w:id="5"/>
    </w:p>
    <w:p w14:paraId="17E8959F" w14:textId="50C0AFF4" w:rsidR="00900006" w:rsidRPr="00900006" w:rsidRDefault="00900006" w:rsidP="00900006">
      <w:pPr>
        <w:spacing w:line="360" w:lineRule="auto"/>
        <w:jc w:val="both"/>
        <w:rPr>
          <w:rFonts w:ascii="Arial" w:hAnsi="Arial" w:cs="Arial"/>
        </w:rPr>
      </w:pPr>
    </w:p>
    <w:p w14:paraId="0D0E9AF9" w14:textId="75B6ABAA" w:rsidR="00900006" w:rsidRPr="00900006" w:rsidRDefault="00900006" w:rsidP="00900006">
      <w:pPr>
        <w:spacing w:line="360" w:lineRule="auto"/>
        <w:jc w:val="both"/>
        <w:rPr>
          <w:rFonts w:ascii="Arial" w:hAnsi="Arial" w:cs="Arial"/>
        </w:rPr>
      </w:pPr>
      <w:r w:rsidRPr="00900006">
        <w:rPr>
          <w:rFonts w:ascii="Arial" w:hAnsi="Arial" w:cs="Arial"/>
        </w:rPr>
        <w:t xml:space="preserve">Para la cobertura se analizaron opciones </w:t>
      </w:r>
      <w:proofErr w:type="spellStart"/>
      <w:r w:rsidRPr="00900006">
        <w:rPr>
          <w:rFonts w:ascii="Arial" w:hAnsi="Arial" w:cs="Arial"/>
        </w:rPr>
        <w:t>put</w:t>
      </w:r>
      <w:proofErr w:type="spellEnd"/>
      <w:r w:rsidRPr="00900006">
        <w:rPr>
          <w:rFonts w:ascii="Arial" w:hAnsi="Arial" w:cs="Arial"/>
        </w:rPr>
        <w:t xml:space="preserve"> con vencimientos entre 12 y 24 meses, buscando contratos con diferentes niveles de </w:t>
      </w:r>
      <w:proofErr w:type="spellStart"/>
      <w:r w:rsidRPr="00900006">
        <w:rPr>
          <w:rFonts w:ascii="Arial" w:hAnsi="Arial" w:cs="Arial"/>
        </w:rPr>
        <w:t>moneyness</w:t>
      </w:r>
      <w:proofErr w:type="spellEnd"/>
      <w:r w:rsidRPr="00900006">
        <w:rPr>
          <w:rFonts w:ascii="Arial" w:hAnsi="Arial" w:cs="Arial"/>
        </w:rPr>
        <w:t xml:space="preserve"> entre 80% y 100% del precio spot. La selección consideró simultáneamente el nivel de protección, el costo de la prima y las condiciones de negociación del contrato.</w:t>
      </w:r>
    </w:p>
    <w:p w14:paraId="0B2B1084" w14:textId="57751DCE" w:rsidR="00900006" w:rsidRPr="00900006" w:rsidRDefault="00900006" w:rsidP="00900006">
      <w:pPr>
        <w:spacing w:line="360" w:lineRule="auto"/>
        <w:jc w:val="both"/>
        <w:rPr>
          <w:rFonts w:ascii="Arial" w:hAnsi="Arial" w:cs="Arial"/>
        </w:rPr>
      </w:pPr>
      <w:r w:rsidRPr="00900006">
        <w:rPr>
          <w:rFonts w:ascii="Arial" w:hAnsi="Arial" w:cs="Arial"/>
        </w:rPr>
        <w:t xml:space="preserve">El criterio de liquidez exigió una cotización vigente, un </w:t>
      </w:r>
      <w:proofErr w:type="spellStart"/>
      <w:r w:rsidRPr="00900006">
        <w:rPr>
          <w:rFonts w:ascii="Arial" w:hAnsi="Arial" w:cs="Arial"/>
        </w:rPr>
        <w:t>bid-ask</w:t>
      </w:r>
      <w:proofErr w:type="spellEnd"/>
      <w:r w:rsidRPr="00900006">
        <w:rPr>
          <w:rFonts w:ascii="Arial" w:hAnsi="Arial" w:cs="Arial"/>
        </w:rPr>
        <w:t xml:space="preserve"> spread relativo máximo de 20 % y un open </w:t>
      </w:r>
      <w:proofErr w:type="spellStart"/>
      <w:r w:rsidRPr="00900006">
        <w:rPr>
          <w:rFonts w:ascii="Arial" w:hAnsi="Arial" w:cs="Arial"/>
        </w:rPr>
        <w:t>interest</w:t>
      </w:r>
      <w:proofErr w:type="spellEnd"/>
      <w:r w:rsidRPr="00900006">
        <w:rPr>
          <w:rFonts w:ascii="Arial" w:hAnsi="Arial" w:cs="Arial"/>
        </w:rPr>
        <w:t xml:space="preserve"> mínimo de 10 contratos. Adicionalmente, se estableció que la pérdida máxima hasta el nivel de protección no superara el 20 % del precio spot. Entre los contratos que cumplieron estos filtros se seleccionó, para cada acción, aquel que presentó la mayor eficiencia de VaR99, medida como la reducción del VaR99 obtenida por unidad de costo de la cobertura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1104"/>
        <w:gridCol w:w="1279"/>
        <w:gridCol w:w="1118"/>
        <w:gridCol w:w="1496"/>
        <w:gridCol w:w="1365"/>
        <w:gridCol w:w="1698"/>
      </w:tblGrid>
      <w:tr w:rsidR="00900006" w:rsidRPr="00900006" w14:paraId="57F4F7B3" w14:textId="77777777" w:rsidTr="00900006">
        <w:trPr>
          <w:tblHeader/>
          <w:tblCellSpacing w:w="15" w:type="dxa"/>
        </w:trPr>
        <w:tc>
          <w:tcPr>
            <w:tcW w:w="0" w:type="auto"/>
            <w:vAlign w:val="center"/>
            <w:hideMark/>
          </w:tcPr>
          <w:p w14:paraId="2D4F88FE" w14:textId="77777777" w:rsidR="00900006" w:rsidRPr="00900006" w:rsidRDefault="00900006" w:rsidP="00900006">
            <w:pPr>
              <w:spacing w:after="0" w:line="240" w:lineRule="auto"/>
              <w:jc w:val="center"/>
              <w:rPr>
                <w:rFonts w:ascii="Arial" w:eastAsia="Times New Roman" w:hAnsi="Arial" w:cs="Arial"/>
                <w:b/>
                <w:bCs/>
                <w:lang w:eastAsia="es-CO"/>
              </w:rPr>
            </w:pPr>
            <w:r w:rsidRPr="00900006">
              <w:rPr>
                <w:rFonts w:ascii="Arial" w:eastAsia="Times New Roman" w:hAnsi="Arial" w:cs="Arial"/>
                <w:b/>
                <w:bCs/>
                <w:lang w:eastAsia="es-CO"/>
              </w:rPr>
              <w:t>Activo</w:t>
            </w:r>
          </w:p>
        </w:tc>
        <w:tc>
          <w:tcPr>
            <w:tcW w:w="0" w:type="auto"/>
            <w:vAlign w:val="center"/>
            <w:hideMark/>
          </w:tcPr>
          <w:p w14:paraId="5F473FFA" w14:textId="7DAA5B83" w:rsidR="00900006" w:rsidRPr="00900006" w:rsidRDefault="00900006" w:rsidP="00900006">
            <w:pPr>
              <w:spacing w:after="0" w:line="240" w:lineRule="auto"/>
              <w:jc w:val="center"/>
              <w:rPr>
                <w:rFonts w:ascii="Arial" w:eastAsia="Times New Roman" w:hAnsi="Arial" w:cs="Arial"/>
                <w:b/>
                <w:bCs/>
                <w:lang w:eastAsia="es-CO"/>
              </w:rPr>
            </w:pPr>
            <w:r w:rsidRPr="00900006">
              <w:rPr>
                <w:rFonts w:ascii="Arial" w:eastAsia="Times New Roman" w:hAnsi="Arial" w:cs="Arial"/>
                <w:b/>
                <w:bCs/>
                <w:lang w:eastAsia="es-CO"/>
              </w:rPr>
              <w:t>Strike</w:t>
            </w:r>
            <w:r w:rsidR="00A6211B">
              <w:rPr>
                <w:rFonts w:ascii="Arial" w:eastAsia="Times New Roman" w:hAnsi="Arial" w:cs="Arial"/>
                <w:b/>
                <w:bCs/>
                <w:lang w:eastAsia="es-CO"/>
              </w:rPr>
              <w:t xml:space="preserve"> USD</w:t>
            </w:r>
          </w:p>
        </w:tc>
        <w:tc>
          <w:tcPr>
            <w:tcW w:w="0" w:type="auto"/>
            <w:vAlign w:val="center"/>
            <w:hideMark/>
          </w:tcPr>
          <w:p w14:paraId="4B6E5381" w14:textId="77777777" w:rsidR="00900006" w:rsidRPr="00900006" w:rsidRDefault="00900006" w:rsidP="00900006">
            <w:pPr>
              <w:spacing w:after="0" w:line="240" w:lineRule="auto"/>
              <w:jc w:val="center"/>
              <w:rPr>
                <w:rFonts w:ascii="Arial" w:eastAsia="Times New Roman" w:hAnsi="Arial" w:cs="Arial"/>
                <w:b/>
                <w:bCs/>
                <w:lang w:eastAsia="es-CO"/>
              </w:rPr>
            </w:pPr>
            <w:proofErr w:type="spellStart"/>
            <w:r w:rsidRPr="00900006">
              <w:rPr>
                <w:rFonts w:ascii="Arial" w:eastAsia="Times New Roman" w:hAnsi="Arial" w:cs="Arial"/>
                <w:b/>
                <w:bCs/>
                <w:lang w:eastAsia="es-CO"/>
              </w:rPr>
              <w:t>Moneyness</w:t>
            </w:r>
            <w:proofErr w:type="spellEnd"/>
          </w:p>
        </w:tc>
        <w:tc>
          <w:tcPr>
            <w:tcW w:w="0" w:type="auto"/>
            <w:vAlign w:val="center"/>
            <w:hideMark/>
          </w:tcPr>
          <w:p w14:paraId="6286551A" w14:textId="672345C0" w:rsidR="00900006" w:rsidRPr="00900006" w:rsidRDefault="00900006" w:rsidP="00900006">
            <w:pPr>
              <w:spacing w:after="0" w:line="240" w:lineRule="auto"/>
              <w:jc w:val="center"/>
              <w:rPr>
                <w:rFonts w:ascii="Arial" w:eastAsia="Times New Roman" w:hAnsi="Arial" w:cs="Arial"/>
                <w:b/>
                <w:bCs/>
                <w:lang w:eastAsia="es-CO"/>
              </w:rPr>
            </w:pPr>
            <w:r w:rsidRPr="00900006">
              <w:rPr>
                <w:rFonts w:ascii="Arial" w:eastAsia="Times New Roman" w:hAnsi="Arial" w:cs="Arial"/>
                <w:b/>
                <w:bCs/>
                <w:lang w:eastAsia="es-CO"/>
              </w:rPr>
              <w:t>Prima</w:t>
            </w:r>
            <w:r w:rsidR="00A6211B">
              <w:rPr>
                <w:rFonts w:ascii="Arial" w:eastAsia="Times New Roman" w:hAnsi="Arial" w:cs="Arial"/>
                <w:b/>
                <w:bCs/>
                <w:lang w:eastAsia="es-CO"/>
              </w:rPr>
              <w:t xml:space="preserve"> USD</w:t>
            </w:r>
          </w:p>
        </w:tc>
        <w:tc>
          <w:tcPr>
            <w:tcW w:w="0" w:type="auto"/>
            <w:vAlign w:val="center"/>
            <w:hideMark/>
          </w:tcPr>
          <w:p w14:paraId="567BAD19" w14:textId="77777777" w:rsidR="00900006" w:rsidRPr="00900006" w:rsidRDefault="00900006" w:rsidP="00900006">
            <w:pPr>
              <w:spacing w:after="0" w:line="240" w:lineRule="auto"/>
              <w:jc w:val="center"/>
              <w:rPr>
                <w:rFonts w:ascii="Arial" w:eastAsia="Times New Roman" w:hAnsi="Arial" w:cs="Arial"/>
                <w:b/>
                <w:bCs/>
                <w:lang w:eastAsia="es-CO"/>
              </w:rPr>
            </w:pPr>
            <w:r w:rsidRPr="00900006">
              <w:rPr>
                <w:rFonts w:ascii="Arial" w:eastAsia="Times New Roman" w:hAnsi="Arial" w:cs="Arial"/>
                <w:b/>
                <w:bCs/>
                <w:lang w:eastAsia="es-CO"/>
              </w:rPr>
              <w:t>Spread relativo</w:t>
            </w:r>
          </w:p>
        </w:tc>
        <w:tc>
          <w:tcPr>
            <w:tcW w:w="0" w:type="auto"/>
            <w:vAlign w:val="center"/>
            <w:hideMark/>
          </w:tcPr>
          <w:p w14:paraId="61AC6C13" w14:textId="77777777" w:rsidR="00900006" w:rsidRPr="00900006" w:rsidRDefault="00900006" w:rsidP="00900006">
            <w:pPr>
              <w:spacing w:after="0" w:line="240" w:lineRule="auto"/>
              <w:jc w:val="center"/>
              <w:rPr>
                <w:rFonts w:ascii="Arial" w:eastAsia="Times New Roman" w:hAnsi="Arial" w:cs="Arial"/>
                <w:b/>
                <w:bCs/>
                <w:lang w:eastAsia="es-CO"/>
              </w:rPr>
            </w:pPr>
            <w:r w:rsidRPr="00900006">
              <w:rPr>
                <w:rFonts w:ascii="Arial" w:eastAsia="Times New Roman" w:hAnsi="Arial" w:cs="Arial"/>
                <w:b/>
                <w:bCs/>
                <w:lang w:eastAsia="es-CO"/>
              </w:rPr>
              <w:t xml:space="preserve">Open </w:t>
            </w:r>
            <w:proofErr w:type="spellStart"/>
            <w:r w:rsidRPr="00900006">
              <w:rPr>
                <w:rFonts w:ascii="Arial" w:eastAsia="Times New Roman" w:hAnsi="Arial" w:cs="Arial"/>
                <w:b/>
                <w:bCs/>
                <w:lang w:eastAsia="es-CO"/>
              </w:rPr>
              <w:t>Interest</w:t>
            </w:r>
            <w:proofErr w:type="spellEnd"/>
          </w:p>
        </w:tc>
        <w:tc>
          <w:tcPr>
            <w:tcW w:w="0" w:type="auto"/>
            <w:vAlign w:val="center"/>
            <w:hideMark/>
          </w:tcPr>
          <w:p w14:paraId="2EBB067F" w14:textId="77777777" w:rsidR="00900006" w:rsidRPr="00900006" w:rsidRDefault="00900006" w:rsidP="00900006">
            <w:pPr>
              <w:spacing w:after="0" w:line="240" w:lineRule="auto"/>
              <w:jc w:val="center"/>
              <w:rPr>
                <w:rFonts w:ascii="Arial" w:eastAsia="Times New Roman" w:hAnsi="Arial" w:cs="Arial"/>
                <w:b/>
                <w:bCs/>
                <w:lang w:eastAsia="es-CO"/>
              </w:rPr>
            </w:pPr>
            <w:r w:rsidRPr="00900006">
              <w:rPr>
                <w:rFonts w:ascii="Arial" w:eastAsia="Times New Roman" w:hAnsi="Arial" w:cs="Arial"/>
                <w:b/>
                <w:bCs/>
                <w:lang w:eastAsia="es-CO"/>
              </w:rPr>
              <w:t>Eficiencia VaR99</w:t>
            </w:r>
          </w:p>
        </w:tc>
      </w:tr>
      <w:tr w:rsidR="00900006" w:rsidRPr="00900006" w14:paraId="4B622D0F" w14:textId="77777777" w:rsidTr="00900006">
        <w:trPr>
          <w:tblCellSpacing w:w="15" w:type="dxa"/>
        </w:trPr>
        <w:tc>
          <w:tcPr>
            <w:tcW w:w="0" w:type="auto"/>
            <w:vAlign w:val="center"/>
            <w:hideMark/>
          </w:tcPr>
          <w:p w14:paraId="6BCF6564" w14:textId="77777777" w:rsidR="00900006" w:rsidRPr="00900006" w:rsidRDefault="00900006" w:rsidP="00900006">
            <w:pPr>
              <w:spacing w:after="0" w:line="240" w:lineRule="auto"/>
              <w:rPr>
                <w:rFonts w:ascii="Arial" w:eastAsia="Times New Roman" w:hAnsi="Arial" w:cs="Arial"/>
                <w:lang w:eastAsia="es-CO"/>
              </w:rPr>
            </w:pPr>
            <w:r w:rsidRPr="00900006">
              <w:rPr>
                <w:rFonts w:ascii="Arial" w:eastAsia="Times New Roman" w:hAnsi="Arial" w:cs="Arial"/>
                <w:lang w:eastAsia="es-CO"/>
              </w:rPr>
              <w:t>LLY</w:t>
            </w:r>
          </w:p>
        </w:tc>
        <w:tc>
          <w:tcPr>
            <w:tcW w:w="0" w:type="auto"/>
            <w:vAlign w:val="center"/>
            <w:hideMark/>
          </w:tcPr>
          <w:p w14:paraId="0E71A597" w14:textId="212A2C53"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1.120</w:t>
            </w:r>
          </w:p>
        </w:tc>
        <w:tc>
          <w:tcPr>
            <w:tcW w:w="0" w:type="auto"/>
            <w:vAlign w:val="center"/>
            <w:hideMark/>
          </w:tcPr>
          <w:p w14:paraId="38EA59DD" w14:textId="39AC321E"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94,6%</w:t>
            </w:r>
          </w:p>
        </w:tc>
        <w:tc>
          <w:tcPr>
            <w:tcW w:w="0" w:type="auto"/>
            <w:vAlign w:val="center"/>
            <w:hideMark/>
          </w:tcPr>
          <w:p w14:paraId="11863C1E" w14:textId="101DCD8F"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148,85</w:t>
            </w:r>
          </w:p>
        </w:tc>
        <w:tc>
          <w:tcPr>
            <w:tcW w:w="0" w:type="auto"/>
            <w:vAlign w:val="center"/>
            <w:hideMark/>
          </w:tcPr>
          <w:p w14:paraId="65BD13A7" w14:textId="1F4D92E5"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11,6%</w:t>
            </w:r>
          </w:p>
        </w:tc>
        <w:tc>
          <w:tcPr>
            <w:tcW w:w="0" w:type="auto"/>
            <w:vAlign w:val="center"/>
            <w:hideMark/>
          </w:tcPr>
          <w:p w14:paraId="21A7D5D2" w14:textId="77777777"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53</w:t>
            </w:r>
          </w:p>
        </w:tc>
        <w:tc>
          <w:tcPr>
            <w:tcW w:w="0" w:type="auto"/>
            <w:vAlign w:val="center"/>
            <w:hideMark/>
          </w:tcPr>
          <w:p w14:paraId="3EC29F33" w14:textId="77777777"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0,27</w:t>
            </w:r>
          </w:p>
        </w:tc>
      </w:tr>
      <w:tr w:rsidR="00900006" w:rsidRPr="00900006" w14:paraId="15F7A493" w14:textId="77777777" w:rsidTr="00900006">
        <w:trPr>
          <w:tblCellSpacing w:w="15" w:type="dxa"/>
        </w:trPr>
        <w:tc>
          <w:tcPr>
            <w:tcW w:w="0" w:type="auto"/>
            <w:vAlign w:val="center"/>
            <w:hideMark/>
          </w:tcPr>
          <w:p w14:paraId="106787DF" w14:textId="77777777" w:rsidR="00900006" w:rsidRPr="00900006" w:rsidRDefault="00900006" w:rsidP="00900006">
            <w:pPr>
              <w:spacing w:after="0" w:line="240" w:lineRule="auto"/>
              <w:rPr>
                <w:rFonts w:ascii="Arial" w:eastAsia="Times New Roman" w:hAnsi="Arial" w:cs="Arial"/>
                <w:lang w:eastAsia="es-CO"/>
              </w:rPr>
            </w:pPr>
            <w:r w:rsidRPr="00900006">
              <w:rPr>
                <w:rFonts w:ascii="Arial" w:eastAsia="Times New Roman" w:hAnsi="Arial" w:cs="Arial"/>
                <w:lang w:eastAsia="es-CO"/>
              </w:rPr>
              <w:t>ORCL</w:t>
            </w:r>
          </w:p>
        </w:tc>
        <w:tc>
          <w:tcPr>
            <w:tcW w:w="0" w:type="auto"/>
            <w:vAlign w:val="center"/>
            <w:hideMark/>
          </w:tcPr>
          <w:p w14:paraId="6ED42D4E" w14:textId="0FC17A23"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125</w:t>
            </w:r>
          </w:p>
        </w:tc>
        <w:tc>
          <w:tcPr>
            <w:tcW w:w="0" w:type="auto"/>
            <w:vAlign w:val="center"/>
            <w:hideMark/>
          </w:tcPr>
          <w:p w14:paraId="5CDB0B7C" w14:textId="1E0B6E36"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91,2%</w:t>
            </w:r>
          </w:p>
        </w:tc>
        <w:tc>
          <w:tcPr>
            <w:tcW w:w="0" w:type="auto"/>
            <w:vAlign w:val="center"/>
            <w:hideMark/>
          </w:tcPr>
          <w:p w14:paraId="5A548184" w14:textId="769B67BA"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24,10</w:t>
            </w:r>
          </w:p>
        </w:tc>
        <w:tc>
          <w:tcPr>
            <w:tcW w:w="0" w:type="auto"/>
            <w:vAlign w:val="center"/>
            <w:hideMark/>
          </w:tcPr>
          <w:p w14:paraId="76F98D40" w14:textId="00A399BD"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2,9%</w:t>
            </w:r>
          </w:p>
        </w:tc>
        <w:tc>
          <w:tcPr>
            <w:tcW w:w="0" w:type="auto"/>
            <w:vAlign w:val="center"/>
            <w:hideMark/>
          </w:tcPr>
          <w:p w14:paraId="5EACCA75" w14:textId="77777777"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3.691</w:t>
            </w:r>
          </w:p>
        </w:tc>
        <w:tc>
          <w:tcPr>
            <w:tcW w:w="0" w:type="auto"/>
            <w:vAlign w:val="center"/>
            <w:hideMark/>
          </w:tcPr>
          <w:p w14:paraId="25DFCE3C" w14:textId="77777777"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0,38</w:t>
            </w:r>
          </w:p>
        </w:tc>
      </w:tr>
      <w:tr w:rsidR="00900006" w:rsidRPr="00900006" w14:paraId="56AB82E1" w14:textId="77777777" w:rsidTr="00900006">
        <w:trPr>
          <w:tblCellSpacing w:w="15" w:type="dxa"/>
        </w:trPr>
        <w:tc>
          <w:tcPr>
            <w:tcW w:w="0" w:type="auto"/>
            <w:vAlign w:val="center"/>
            <w:hideMark/>
          </w:tcPr>
          <w:p w14:paraId="58714789" w14:textId="77777777" w:rsidR="00900006" w:rsidRPr="00900006" w:rsidRDefault="00900006" w:rsidP="00900006">
            <w:pPr>
              <w:spacing w:after="0" w:line="240" w:lineRule="auto"/>
              <w:rPr>
                <w:rFonts w:ascii="Arial" w:eastAsia="Times New Roman" w:hAnsi="Arial" w:cs="Arial"/>
                <w:lang w:eastAsia="es-CO"/>
              </w:rPr>
            </w:pPr>
            <w:r w:rsidRPr="00900006">
              <w:rPr>
                <w:rFonts w:ascii="Arial" w:eastAsia="Times New Roman" w:hAnsi="Arial" w:cs="Arial"/>
                <w:lang w:eastAsia="es-CO"/>
              </w:rPr>
              <w:t>GD</w:t>
            </w:r>
          </w:p>
        </w:tc>
        <w:tc>
          <w:tcPr>
            <w:tcW w:w="0" w:type="auto"/>
            <w:vAlign w:val="center"/>
            <w:hideMark/>
          </w:tcPr>
          <w:p w14:paraId="0CD22C16" w14:textId="58009A29"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320</w:t>
            </w:r>
          </w:p>
        </w:tc>
        <w:tc>
          <w:tcPr>
            <w:tcW w:w="0" w:type="auto"/>
            <w:vAlign w:val="center"/>
            <w:hideMark/>
          </w:tcPr>
          <w:p w14:paraId="75F20F3F" w14:textId="378FC1C5"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95,0%</w:t>
            </w:r>
          </w:p>
        </w:tc>
        <w:tc>
          <w:tcPr>
            <w:tcW w:w="0" w:type="auto"/>
            <w:vAlign w:val="center"/>
            <w:hideMark/>
          </w:tcPr>
          <w:p w14:paraId="623FDA1F" w14:textId="4289E53D"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25,00</w:t>
            </w:r>
          </w:p>
        </w:tc>
        <w:tc>
          <w:tcPr>
            <w:tcW w:w="0" w:type="auto"/>
            <w:vAlign w:val="center"/>
            <w:hideMark/>
          </w:tcPr>
          <w:p w14:paraId="469FC961" w14:textId="2109663B"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19,8%</w:t>
            </w:r>
          </w:p>
        </w:tc>
        <w:tc>
          <w:tcPr>
            <w:tcW w:w="0" w:type="auto"/>
            <w:vAlign w:val="center"/>
            <w:hideMark/>
          </w:tcPr>
          <w:p w14:paraId="7AFD5A36" w14:textId="77777777"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34</w:t>
            </w:r>
          </w:p>
        </w:tc>
        <w:tc>
          <w:tcPr>
            <w:tcW w:w="0" w:type="auto"/>
            <w:vAlign w:val="center"/>
            <w:hideMark/>
          </w:tcPr>
          <w:p w14:paraId="647AD0DC" w14:textId="77777777" w:rsidR="00900006" w:rsidRPr="00900006" w:rsidRDefault="00900006" w:rsidP="00900006">
            <w:pPr>
              <w:spacing w:after="0" w:line="240" w:lineRule="auto"/>
              <w:jc w:val="center"/>
              <w:rPr>
                <w:rFonts w:ascii="Arial" w:eastAsia="Times New Roman" w:hAnsi="Arial" w:cs="Arial"/>
                <w:lang w:eastAsia="es-CO"/>
              </w:rPr>
            </w:pPr>
            <w:r w:rsidRPr="00900006">
              <w:rPr>
                <w:rFonts w:ascii="Arial" w:eastAsia="Times New Roman" w:hAnsi="Arial" w:cs="Arial"/>
                <w:lang w:eastAsia="es-CO"/>
              </w:rPr>
              <w:t>0,92</w:t>
            </w:r>
          </w:p>
        </w:tc>
      </w:tr>
    </w:tbl>
    <w:p w14:paraId="04A5868F" w14:textId="3F2C2B2E" w:rsidR="00900006" w:rsidRDefault="00900006" w:rsidP="00234F89">
      <w:pPr>
        <w:spacing w:line="360" w:lineRule="auto"/>
        <w:jc w:val="both"/>
        <w:rPr>
          <w:rFonts w:ascii="Arial" w:hAnsi="Arial" w:cs="Arial"/>
          <w:sz w:val="18"/>
          <w:highlight w:val="yellow"/>
        </w:rPr>
      </w:pPr>
    </w:p>
    <w:p w14:paraId="1C814B45" w14:textId="75F2344E" w:rsidR="00A6211B" w:rsidRPr="00A6211B" w:rsidRDefault="00961C4D" w:rsidP="00234F89">
      <w:pPr>
        <w:spacing w:line="360" w:lineRule="auto"/>
        <w:jc w:val="both"/>
        <w:rPr>
          <w:rFonts w:ascii="Arial" w:hAnsi="Arial" w:cs="Arial"/>
        </w:rPr>
      </w:pPr>
      <w:r w:rsidRPr="00961C4D">
        <w:rPr>
          <w:rFonts w:ascii="Arial" w:hAnsi="Arial" w:cs="Arial"/>
        </w:rPr>
        <w:t xml:space="preserve">Para la selección de los contratos consideramos el nivel de protección, el costo de la prima y las condiciones de liquidez del mercado. Establecimos como criterios una cotización vigente, un </w:t>
      </w:r>
      <w:proofErr w:type="spellStart"/>
      <w:r w:rsidRPr="00961C4D">
        <w:rPr>
          <w:rFonts w:ascii="Arial" w:hAnsi="Arial" w:cs="Arial"/>
        </w:rPr>
        <w:t>bid-ask</w:t>
      </w:r>
      <w:proofErr w:type="spellEnd"/>
      <w:r w:rsidRPr="00961C4D">
        <w:rPr>
          <w:rFonts w:ascii="Arial" w:hAnsi="Arial" w:cs="Arial"/>
        </w:rPr>
        <w:t xml:space="preserve"> spread relativo máximo del 20 %, un open </w:t>
      </w:r>
      <w:proofErr w:type="spellStart"/>
      <w:r w:rsidRPr="00961C4D">
        <w:rPr>
          <w:rFonts w:ascii="Arial" w:hAnsi="Arial" w:cs="Arial"/>
        </w:rPr>
        <w:t>interest</w:t>
      </w:r>
      <w:proofErr w:type="spellEnd"/>
      <w:r w:rsidRPr="00961C4D">
        <w:rPr>
          <w:rFonts w:ascii="Arial" w:hAnsi="Arial" w:cs="Arial"/>
        </w:rPr>
        <w:t xml:space="preserve"> mínimo de 10 </w:t>
      </w:r>
      <w:r w:rsidRPr="00961C4D">
        <w:rPr>
          <w:rFonts w:ascii="Arial" w:hAnsi="Arial" w:cs="Arial"/>
        </w:rPr>
        <w:lastRenderedPageBreak/>
        <w:t>contratos y una pérdida máxima hasta el nivel de protección del 20 % del precio spot. Las alternativas que cumplieron estos filtros permitieron seleccionar, para cada activo, el contrato con mayor eficiencia en la reducción del VaR99 por unidad de costo. Estos resultados muestran que las opciones seleccionadas presentan diferentes niveles de liquidez y eficiencia.</w:t>
      </w:r>
    </w:p>
    <w:p w14:paraId="6765B65B" w14:textId="6EBE3D56" w:rsidR="00234F89" w:rsidRDefault="00234F89" w:rsidP="00961C4D">
      <w:pPr>
        <w:pStyle w:val="Ttulo1"/>
        <w:rPr>
          <w:rFonts w:ascii="Arial" w:hAnsi="Arial" w:cs="Arial"/>
          <w:b/>
          <w:color w:val="auto"/>
          <w:sz w:val="22"/>
          <w:szCs w:val="22"/>
        </w:rPr>
      </w:pPr>
      <w:bookmarkStart w:id="6" w:name="_Toc241594189"/>
      <w:r w:rsidRPr="00961C4D">
        <w:rPr>
          <w:rFonts w:ascii="Arial" w:hAnsi="Arial" w:cs="Arial"/>
          <w:b/>
          <w:color w:val="auto"/>
          <w:sz w:val="22"/>
          <w:szCs w:val="22"/>
        </w:rPr>
        <w:t>Valoración binomial europea y americana</w:t>
      </w:r>
      <w:bookmarkEnd w:id="6"/>
    </w:p>
    <w:p w14:paraId="1343FFA3" w14:textId="6FF284F7" w:rsidR="00961C4D" w:rsidRDefault="00961C4D" w:rsidP="00961C4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795"/>
        <w:gridCol w:w="1670"/>
        <w:gridCol w:w="1142"/>
        <w:gridCol w:w="1238"/>
        <w:gridCol w:w="1471"/>
        <w:gridCol w:w="1744"/>
      </w:tblGrid>
      <w:tr w:rsidR="00961C4D" w:rsidRPr="00961C4D" w14:paraId="242F26B8" w14:textId="77777777" w:rsidTr="000753B7">
        <w:trPr>
          <w:tblHeader/>
          <w:tblCellSpacing w:w="15" w:type="dxa"/>
        </w:trPr>
        <w:tc>
          <w:tcPr>
            <w:tcW w:w="0" w:type="auto"/>
            <w:vAlign w:val="center"/>
            <w:hideMark/>
          </w:tcPr>
          <w:p w14:paraId="1883EB72" w14:textId="77777777" w:rsidR="00961C4D" w:rsidRPr="00961C4D" w:rsidRDefault="00961C4D" w:rsidP="000753B7">
            <w:pPr>
              <w:spacing w:after="0" w:line="240" w:lineRule="auto"/>
              <w:jc w:val="center"/>
              <w:rPr>
                <w:rFonts w:ascii="Arial" w:eastAsia="Times New Roman" w:hAnsi="Arial" w:cs="Arial"/>
                <w:b/>
                <w:bCs/>
                <w:lang w:eastAsia="es-CO"/>
              </w:rPr>
            </w:pPr>
            <w:r w:rsidRPr="00961C4D">
              <w:rPr>
                <w:rFonts w:ascii="Arial" w:eastAsia="Times New Roman" w:hAnsi="Arial" w:cs="Arial"/>
                <w:b/>
                <w:bCs/>
                <w:lang w:eastAsia="es-CO"/>
              </w:rPr>
              <w:t>Activo</w:t>
            </w:r>
          </w:p>
        </w:tc>
        <w:tc>
          <w:tcPr>
            <w:tcW w:w="0" w:type="auto"/>
            <w:vAlign w:val="center"/>
            <w:hideMark/>
          </w:tcPr>
          <w:p w14:paraId="17EC2499" w14:textId="77777777" w:rsidR="00961C4D" w:rsidRPr="00961C4D" w:rsidRDefault="00961C4D" w:rsidP="000753B7">
            <w:pPr>
              <w:spacing w:after="0" w:line="240" w:lineRule="auto"/>
              <w:jc w:val="center"/>
              <w:rPr>
                <w:rFonts w:ascii="Arial" w:eastAsia="Times New Roman" w:hAnsi="Arial" w:cs="Arial"/>
                <w:b/>
                <w:bCs/>
                <w:lang w:eastAsia="es-CO"/>
              </w:rPr>
            </w:pPr>
            <w:r w:rsidRPr="000753B7">
              <w:rPr>
                <w:rFonts w:ascii="Arial" w:eastAsia="Times New Roman" w:hAnsi="Arial" w:cs="Arial"/>
                <w:b/>
                <w:bCs/>
                <w:lang w:eastAsia="es-CO"/>
              </w:rPr>
              <w:t>KK</w:t>
            </w:r>
            <w:r w:rsidRPr="00961C4D">
              <w:rPr>
                <w:rFonts w:ascii="Arial" w:eastAsia="Times New Roman" w:hAnsi="Arial" w:cs="Arial"/>
                <w:b/>
                <w:bCs/>
                <w:lang w:eastAsia="es-CO"/>
              </w:rPr>
              <w:t xml:space="preserve"> USD</w:t>
            </w:r>
          </w:p>
        </w:tc>
        <w:tc>
          <w:tcPr>
            <w:tcW w:w="0" w:type="auto"/>
            <w:vAlign w:val="center"/>
            <w:hideMark/>
          </w:tcPr>
          <w:p w14:paraId="5944AD30" w14:textId="77777777" w:rsidR="00961C4D" w:rsidRPr="00961C4D" w:rsidRDefault="00961C4D" w:rsidP="000753B7">
            <w:pPr>
              <w:spacing w:after="0" w:line="240" w:lineRule="auto"/>
              <w:jc w:val="center"/>
              <w:rPr>
                <w:rFonts w:ascii="Arial" w:eastAsia="Times New Roman" w:hAnsi="Arial" w:cs="Arial"/>
                <w:b/>
                <w:bCs/>
                <w:lang w:eastAsia="es-CO"/>
              </w:rPr>
            </w:pPr>
            <w:r w:rsidRPr="00961C4D">
              <w:rPr>
                <w:rFonts w:ascii="Arial" w:eastAsia="Times New Roman" w:hAnsi="Arial" w:cs="Arial"/>
                <w:b/>
                <w:bCs/>
                <w:lang w:eastAsia="es-CO"/>
              </w:rPr>
              <w:t>Prima mercado USD</w:t>
            </w:r>
          </w:p>
        </w:tc>
        <w:tc>
          <w:tcPr>
            <w:tcW w:w="0" w:type="auto"/>
            <w:vAlign w:val="center"/>
            <w:hideMark/>
          </w:tcPr>
          <w:p w14:paraId="3AB4FFB3" w14:textId="77777777" w:rsidR="00961C4D" w:rsidRPr="00961C4D" w:rsidRDefault="00961C4D" w:rsidP="000753B7">
            <w:pPr>
              <w:spacing w:after="0" w:line="240" w:lineRule="auto"/>
              <w:jc w:val="center"/>
              <w:rPr>
                <w:rFonts w:ascii="Arial" w:eastAsia="Times New Roman" w:hAnsi="Arial" w:cs="Arial"/>
                <w:b/>
                <w:bCs/>
                <w:lang w:eastAsia="es-CO"/>
              </w:rPr>
            </w:pPr>
            <w:proofErr w:type="gramStart"/>
            <w:r w:rsidRPr="00961C4D">
              <w:rPr>
                <w:rFonts w:ascii="Arial" w:eastAsia="Times New Roman" w:hAnsi="Arial" w:cs="Arial"/>
                <w:b/>
                <w:bCs/>
                <w:lang w:eastAsia="es-CO"/>
              </w:rPr>
              <w:t>BS europea</w:t>
            </w:r>
            <w:proofErr w:type="gramEnd"/>
          </w:p>
        </w:tc>
        <w:tc>
          <w:tcPr>
            <w:tcW w:w="0" w:type="auto"/>
            <w:vAlign w:val="center"/>
            <w:hideMark/>
          </w:tcPr>
          <w:p w14:paraId="4CC25A22" w14:textId="77777777" w:rsidR="00961C4D" w:rsidRPr="00961C4D" w:rsidRDefault="00961C4D" w:rsidP="000753B7">
            <w:pPr>
              <w:spacing w:after="0" w:line="240" w:lineRule="auto"/>
              <w:jc w:val="center"/>
              <w:rPr>
                <w:rFonts w:ascii="Arial" w:eastAsia="Times New Roman" w:hAnsi="Arial" w:cs="Arial"/>
                <w:b/>
                <w:bCs/>
                <w:lang w:eastAsia="es-CO"/>
              </w:rPr>
            </w:pPr>
            <w:r w:rsidRPr="00961C4D">
              <w:rPr>
                <w:rFonts w:ascii="Arial" w:eastAsia="Times New Roman" w:hAnsi="Arial" w:cs="Arial"/>
                <w:b/>
                <w:bCs/>
                <w:lang w:eastAsia="es-CO"/>
              </w:rPr>
              <w:t>CRR europea</w:t>
            </w:r>
          </w:p>
        </w:tc>
        <w:tc>
          <w:tcPr>
            <w:tcW w:w="0" w:type="auto"/>
            <w:vAlign w:val="center"/>
            <w:hideMark/>
          </w:tcPr>
          <w:p w14:paraId="5708979A" w14:textId="77777777" w:rsidR="00961C4D" w:rsidRPr="00961C4D" w:rsidRDefault="00961C4D" w:rsidP="000753B7">
            <w:pPr>
              <w:spacing w:after="0" w:line="240" w:lineRule="auto"/>
              <w:jc w:val="center"/>
              <w:rPr>
                <w:rFonts w:ascii="Arial" w:eastAsia="Times New Roman" w:hAnsi="Arial" w:cs="Arial"/>
                <w:b/>
                <w:bCs/>
                <w:lang w:eastAsia="es-CO"/>
              </w:rPr>
            </w:pPr>
            <w:r w:rsidRPr="00961C4D">
              <w:rPr>
                <w:rFonts w:ascii="Arial" w:eastAsia="Times New Roman" w:hAnsi="Arial" w:cs="Arial"/>
                <w:b/>
                <w:bCs/>
                <w:lang w:eastAsia="es-CO"/>
              </w:rPr>
              <w:t>CRR americana</w:t>
            </w:r>
          </w:p>
        </w:tc>
        <w:tc>
          <w:tcPr>
            <w:tcW w:w="0" w:type="auto"/>
            <w:vAlign w:val="center"/>
            <w:hideMark/>
          </w:tcPr>
          <w:p w14:paraId="7FACD332" w14:textId="77777777" w:rsidR="00961C4D" w:rsidRPr="00961C4D" w:rsidRDefault="00961C4D" w:rsidP="000753B7">
            <w:pPr>
              <w:spacing w:after="0" w:line="240" w:lineRule="auto"/>
              <w:jc w:val="center"/>
              <w:rPr>
                <w:rFonts w:ascii="Arial" w:eastAsia="Times New Roman" w:hAnsi="Arial" w:cs="Arial"/>
                <w:b/>
                <w:bCs/>
                <w:lang w:eastAsia="es-CO"/>
              </w:rPr>
            </w:pPr>
            <w:r w:rsidRPr="00961C4D">
              <w:rPr>
                <w:rFonts w:ascii="Arial" w:eastAsia="Times New Roman" w:hAnsi="Arial" w:cs="Arial"/>
                <w:b/>
                <w:bCs/>
                <w:lang w:eastAsia="es-CO"/>
              </w:rPr>
              <w:t>Ejercicio anticipado</w:t>
            </w:r>
          </w:p>
        </w:tc>
      </w:tr>
      <w:tr w:rsidR="00961C4D" w:rsidRPr="00961C4D" w14:paraId="587E69D3" w14:textId="77777777" w:rsidTr="000753B7">
        <w:trPr>
          <w:tblCellSpacing w:w="15" w:type="dxa"/>
        </w:trPr>
        <w:tc>
          <w:tcPr>
            <w:tcW w:w="0" w:type="auto"/>
            <w:vAlign w:val="center"/>
            <w:hideMark/>
          </w:tcPr>
          <w:p w14:paraId="3FED1691" w14:textId="77777777" w:rsidR="00961C4D" w:rsidRPr="00961C4D" w:rsidRDefault="00961C4D" w:rsidP="00961C4D">
            <w:pPr>
              <w:spacing w:after="0" w:line="240" w:lineRule="auto"/>
              <w:rPr>
                <w:rFonts w:ascii="Arial" w:eastAsia="Times New Roman" w:hAnsi="Arial" w:cs="Arial"/>
                <w:lang w:eastAsia="es-CO"/>
              </w:rPr>
            </w:pPr>
            <w:r w:rsidRPr="000753B7">
              <w:rPr>
                <w:rFonts w:ascii="Arial" w:eastAsia="Times New Roman" w:hAnsi="Arial" w:cs="Arial"/>
                <w:b/>
                <w:bCs/>
                <w:lang w:eastAsia="es-CO"/>
              </w:rPr>
              <w:t>LLY</w:t>
            </w:r>
          </w:p>
        </w:tc>
        <w:tc>
          <w:tcPr>
            <w:tcW w:w="0" w:type="auto"/>
            <w:vAlign w:val="center"/>
            <w:hideMark/>
          </w:tcPr>
          <w:p w14:paraId="05879B96"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1.120</w:t>
            </w:r>
          </w:p>
        </w:tc>
        <w:tc>
          <w:tcPr>
            <w:tcW w:w="0" w:type="auto"/>
            <w:vAlign w:val="center"/>
            <w:hideMark/>
          </w:tcPr>
          <w:p w14:paraId="3E6873FA"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140,675</w:t>
            </w:r>
          </w:p>
        </w:tc>
        <w:tc>
          <w:tcPr>
            <w:tcW w:w="0" w:type="auto"/>
            <w:vAlign w:val="center"/>
            <w:hideMark/>
          </w:tcPr>
          <w:p w14:paraId="48361749"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135,290</w:t>
            </w:r>
          </w:p>
        </w:tc>
        <w:tc>
          <w:tcPr>
            <w:tcW w:w="0" w:type="auto"/>
            <w:vAlign w:val="center"/>
            <w:hideMark/>
          </w:tcPr>
          <w:p w14:paraId="5E2820B6"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135,375</w:t>
            </w:r>
          </w:p>
        </w:tc>
        <w:tc>
          <w:tcPr>
            <w:tcW w:w="0" w:type="auto"/>
            <w:vAlign w:val="center"/>
            <w:hideMark/>
          </w:tcPr>
          <w:p w14:paraId="447BD41D" w14:textId="77777777" w:rsidR="00961C4D" w:rsidRPr="00961C4D" w:rsidRDefault="00961C4D" w:rsidP="000753B7">
            <w:pPr>
              <w:spacing w:after="0" w:line="240" w:lineRule="auto"/>
              <w:jc w:val="center"/>
              <w:rPr>
                <w:rFonts w:ascii="Arial" w:eastAsia="Times New Roman" w:hAnsi="Arial" w:cs="Arial"/>
                <w:lang w:eastAsia="es-CO"/>
              </w:rPr>
            </w:pPr>
            <w:r w:rsidRPr="000753B7">
              <w:rPr>
                <w:rFonts w:ascii="Arial" w:eastAsia="Times New Roman" w:hAnsi="Arial" w:cs="Arial"/>
                <w:b/>
                <w:bCs/>
                <w:lang w:eastAsia="es-CO"/>
              </w:rPr>
              <w:t>140,762</w:t>
            </w:r>
          </w:p>
        </w:tc>
        <w:tc>
          <w:tcPr>
            <w:tcW w:w="0" w:type="auto"/>
            <w:vAlign w:val="center"/>
            <w:hideMark/>
          </w:tcPr>
          <w:p w14:paraId="5D8528E3" w14:textId="54CD5AFC"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3,8%</w:t>
            </w:r>
          </w:p>
        </w:tc>
      </w:tr>
      <w:tr w:rsidR="00961C4D" w:rsidRPr="00961C4D" w14:paraId="38071BFA" w14:textId="77777777" w:rsidTr="000753B7">
        <w:trPr>
          <w:tblCellSpacing w:w="15" w:type="dxa"/>
        </w:trPr>
        <w:tc>
          <w:tcPr>
            <w:tcW w:w="0" w:type="auto"/>
            <w:vAlign w:val="center"/>
            <w:hideMark/>
          </w:tcPr>
          <w:p w14:paraId="04AEA9EF" w14:textId="77777777" w:rsidR="00961C4D" w:rsidRPr="00961C4D" w:rsidRDefault="00961C4D" w:rsidP="00961C4D">
            <w:pPr>
              <w:spacing w:after="0" w:line="240" w:lineRule="auto"/>
              <w:rPr>
                <w:rFonts w:ascii="Arial" w:eastAsia="Times New Roman" w:hAnsi="Arial" w:cs="Arial"/>
                <w:lang w:eastAsia="es-CO"/>
              </w:rPr>
            </w:pPr>
            <w:r w:rsidRPr="000753B7">
              <w:rPr>
                <w:rFonts w:ascii="Arial" w:eastAsia="Times New Roman" w:hAnsi="Arial" w:cs="Arial"/>
                <w:b/>
                <w:bCs/>
                <w:lang w:eastAsia="es-CO"/>
              </w:rPr>
              <w:t>ORCL</w:t>
            </w:r>
          </w:p>
        </w:tc>
        <w:tc>
          <w:tcPr>
            <w:tcW w:w="0" w:type="auto"/>
            <w:vAlign w:val="center"/>
            <w:hideMark/>
          </w:tcPr>
          <w:p w14:paraId="3BB9E6FA"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125</w:t>
            </w:r>
          </w:p>
        </w:tc>
        <w:tc>
          <w:tcPr>
            <w:tcW w:w="0" w:type="auto"/>
            <w:vAlign w:val="center"/>
            <w:hideMark/>
          </w:tcPr>
          <w:p w14:paraId="65DEE4A7"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23,750</w:t>
            </w:r>
          </w:p>
        </w:tc>
        <w:tc>
          <w:tcPr>
            <w:tcW w:w="0" w:type="auto"/>
            <w:vAlign w:val="center"/>
            <w:hideMark/>
          </w:tcPr>
          <w:p w14:paraId="32F6C0B9"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23,207</w:t>
            </w:r>
          </w:p>
        </w:tc>
        <w:tc>
          <w:tcPr>
            <w:tcW w:w="0" w:type="auto"/>
            <w:vAlign w:val="center"/>
            <w:hideMark/>
          </w:tcPr>
          <w:p w14:paraId="3F4C3BD2"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23,218</w:t>
            </w:r>
          </w:p>
        </w:tc>
        <w:tc>
          <w:tcPr>
            <w:tcW w:w="0" w:type="auto"/>
            <w:vAlign w:val="center"/>
            <w:hideMark/>
          </w:tcPr>
          <w:p w14:paraId="6A9FAD1F" w14:textId="77777777" w:rsidR="00961C4D" w:rsidRPr="00961C4D" w:rsidRDefault="00961C4D" w:rsidP="000753B7">
            <w:pPr>
              <w:spacing w:after="0" w:line="240" w:lineRule="auto"/>
              <w:jc w:val="center"/>
              <w:rPr>
                <w:rFonts w:ascii="Arial" w:eastAsia="Times New Roman" w:hAnsi="Arial" w:cs="Arial"/>
                <w:lang w:eastAsia="es-CO"/>
              </w:rPr>
            </w:pPr>
            <w:r w:rsidRPr="000753B7">
              <w:rPr>
                <w:rFonts w:ascii="Arial" w:eastAsia="Times New Roman" w:hAnsi="Arial" w:cs="Arial"/>
                <w:b/>
                <w:bCs/>
                <w:lang w:eastAsia="es-CO"/>
              </w:rPr>
              <w:t>23,781</w:t>
            </w:r>
          </w:p>
        </w:tc>
        <w:tc>
          <w:tcPr>
            <w:tcW w:w="0" w:type="auto"/>
            <w:vAlign w:val="center"/>
            <w:hideMark/>
          </w:tcPr>
          <w:p w14:paraId="0AC16332" w14:textId="322C1CE5"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2,4%</w:t>
            </w:r>
          </w:p>
        </w:tc>
      </w:tr>
      <w:tr w:rsidR="00961C4D" w:rsidRPr="00961C4D" w14:paraId="1C85FFBD" w14:textId="77777777" w:rsidTr="000753B7">
        <w:trPr>
          <w:tblCellSpacing w:w="15" w:type="dxa"/>
        </w:trPr>
        <w:tc>
          <w:tcPr>
            <w:tcW w:w="0" w:type="auto"/>
            <w:vAlign w:val="center"/>
            <w:hideMark/>
          </w:tcPr>
          <w:p w14:paraId="03C9231C" w14:textId="77777777" w:rsidR="00961C4D" w:rsidRPr="00961C4D" w:rsidRDefault="00961C4D" w:rsidP="00961C4D">
            <w:pPr>
              <w:spacing w:after="0" w:line="240" w:lineRule="auto"/>
              <w:rPr>
                <w:rFonts w:ascii="Arial" w:eastAsia="Times New Roman" w:hAnsi="Arial" w:cs="Arial"/>
                <w:lang w:eastAsia="es-CO"/>
              </w:rPr>
            </w:pPr>
            <w:r w:rsidRPr="000753B7">
              <w:rPr>
                <w:rFonts w:ascii="Arial" w:eastAsia="Times New Roman" w:hAnsi="Arial" w:cs="Arial"/>
                <w:b/>
                <w:bCs/>
                <w:lang w:eastAsia="es-CO"/>
              </w:rPr>
              <w:t>GD</w:t>
            </w:r>
          </w:p>
        </w:tc>
        <w:tc>
          <w:tcPr>
            <w:tcW w:w="0" w:type="auto"/>
            <w:vAlign w:val="center"/>
            <w:hideMark/>
          </w:tcPr>
          <w:p w14:paraId="5654A21E"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320</w:t>
            </w:r>
          </w:p>
        </w:tc>
        <w:tc>
          <w:tcPr>
            <w:tcW w:w="0" w:type="auto"/>
            <w:vAlign w:val="center"/>
            <w:hideMark/>
          </w:tcPr>
          <w:p w14:paraId="07DC348A"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22,750</w:t>
            </w:r>
          </w:p>
        </w:tc>
        <w:tc>
          <w:tcPr>
            <w:tcW w:w="0" w:type="auto"/>
            <w:vAlign w:val="center"/>
            <w:hideMark/>
          </w:tcPr>
          <w:p w14:paraId="25D84B3B"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21,748</w:t>
            </w:r>
          </w:p>
        </w:tc>
        <w:tc>
          <w:tcPr>
            <w:tcW w:w="0" w:type="auto"/>
            <w:vAlign w:val="center"/>
            <w:hideMark/>
          </w:tcPr>
          <w:p w14:paraId="75CAD9A4" w14:textId="77777777"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21,744</w:t>
            </w:r>
          </w:p>
        </w:tc>
        <w:tc>
          <w:tcPr>
            <w:tcW w:w="0" w:type="auto"/>
            <w:vAlign w:val="center"/>
            <w:hideMark/>
          </w:tcPr>
          <w:p w14:paraId="020C6629" w14:textId="77777777" w:rsidR="00961C4D" w:rsidRPr="00961C4D" w:rsidRDefault="00961C4D" w:rsidP="000753B7">
            <w:pPr>
              <w:spacing w:after="0" w:line="240" w:lineRule="auto"/>
              <w:jc w:val="center"/>
              <w:rPr>
                <w:rFonts w:ascii="Arial" w:eastAsia="Times New Roman" w:hAnsi="Arial" w:cs="Arial"/>
                <w:lang w:eastAsia="es-CO"/>
              </w:rPr>
            </w:pPr>
            <w:r w:rsidRPr="000753B7">
              <w:rPr>
                <w:rFonts w:ascii="Arial" w:eastAsia="Times New Roman" w:hAnsi="Arial" w:cs="Arial"/>
                <w:b/>
                <w:bCs/>
                <w:lang w:eastAsia="es-CO"/>
              </w:rPr>
              <w:t>22,721</w:t>
            </w:r>
          </w:p>
        </w:tc>
        <w:tc>
          <w:tcPr>
            <w:tcW w:w="0" w:type="auto"/>
            <w:vAlign w:val="center"/>
            <w:hideMark/>
          </w:tcPr>
          <w:p w14:paraId="30B7F6DB" w14:textId="615D4A11" w:rsidR="00961C4D" w:rsidRPr="00961C4D" w:rsidRDefault="00961C4D" w:rsidP="000753B7">
            <w:pPr>
              <w:spacing w:after="0" w:line="240" w:lineRule="auto"/>
              <w:jc w:val="center"/>
              <w:rPr>
                <w:rFonts w:ascii="Arial" w:eastAsia="Times New Roman" w:hAnsi="Arial" w:cs="Arial"/>
                <w:lang w:eastAsia="es-CO"/>
              </w:rPr>
            </w:pPr>
            <w:r w:rsidRPr="00961C4D">
              <w:rPr>
                <w:rFonts w:ascii="Arial" w:eastAsia="Times New Roman" w:hAnsi="Arial" w:cs="Arial"/>
                <w:lang w:eastAsia="es-CO"/>
              </w:rPr>
              <w:t>4,3%</w:t>
            </w:r>
          </w:p>
        </w:tc>
      </w:tr>
    </w:tbl>
    <w:p w14:paraId="45E3DEE8" w14:textId="52EF55F3" w:rsidR="00961C4D" w:rsidRDefault="00961C4D" w:rsidP="00961C4D"/>
    <w:p w14:paraId="42C13B12" w14:textId="098260C3" w:rsidR="000753B7" w:rsidRPr="000753B7" w:rsidRDefault="000753B7" w:rsidP="000753B7">
      <w:pPr>
        <w:spacing w:line="360" w:lineRule="auto"/>
        <w:jc w:val="both"/>
        <w:rPr>
          <w:rFonts w:ascii="Arial" w:hAnsi="Arial" w:cs="Arial"/>
        </w:rPr>
      </w:pPr>
      <w:r w:rsidRPr="000753B7">
        <w:rPr>
          <w:rFonts w:ascii="Arial" w:hAnsi="Arial" w:cs="Arial"/>
        </w:rPr>
        <w:t xml:space="preserve">Para la valoración de las opciones utilizamos un árbol binomial CRR de 500 pasos, manteniendo los mismos parámetros de </w:t>
      </w:r>
      <m:oMath>
        <m:sSub>
          <m:sSubPr>
            <m:ctrlPr>
              <w:rPr>
                <w:rFonts w:ascii="Cambria Math" w:hAnsi="Cambria Math" w:cs="Arial"/>
                <w:i/>
              </w:rPr>
            </m:ctrlPr>
          </m:sSubPr>
          <m:e>
            <m:r>
              <w:rPr>
                <w:rFonts w:ascii="Cambria Math" w:hAnsi="Cambria Math" w:cs="Arial"/>
              </w:rPr>
              <m:t>S</m:t>
            </m:r>
          </m:e>
          <m:sub>
            <m:r>
              <w:rPr>
                <w:rFonts w:ascii="Cambria Math" w:hAnsi="Cambria Math" w:cs="Arial"/>
              </w:rPr>
              <m:t>0</m:t>
            </m:r>
          </m:sub>
        </m:sSub>
        <m:r>
          <w:rPr>
            <w:rFonts w:ascii="Cambria Math" w:hAnsi="Cambria Math" w:cs="Arial"/>
          </w:rPr>
          <m:t>, K, T</m:t>
        </m:r>
      </m:oMath>
      <w:r>
        <w:rPr>
          <w:rFonts w:ascii="Arial" w:eastAsiaTheme="minorEastAsia" w:hAnsi="Arial" w:cs="Arial"/>
        </w:rPr>
        <w:t xml:space="preserve">, </w:t>
      </w:r>
      <w:r w:rsidRPr="000753B7">
        <w:rPr>
          <w:rFonts w:ascii="Arial" w:hAnsi="Arial" w:cs="Arial"/>
        </w:rPr>
        <w:t>volatilidad, tasa libre de riesgo y dividendos para las alternativas europea y americana</w:t>
      </w:r>
      <w:r>
        <w:rPr>
          <w:rFonts w:ascii="Arial" w:hAnsi="Arial" w:cs="Arial"/>
        </w:rPr>
        <w:t>, l</w:t>
      </w:r>
      <w:r w:rsidRPr="000753B7">
        <w:rPr>
          <w:rFonts w:ascii="Arial" w:hAnsi="Arial" w:cs="Arial"/>
        </w:rPr>
        <w:t xml:space="preserve">os resultados muestran que la posibilidad de ejercicio anticipado incrementa el valor de las </w:t>
      </w:r>
      <w:proofErr w:type="spellStart"/>
      <w:r w:rsidRPr="000753B7">
        <w:rPr>
          <w:rFonts w:ascii="Arial" w:hAnsi="Arial" w:cs="Arial"/>
        </w:rPr>
        <w:t>puts</w:t>
      </w:r>
      <w:proofErr w:type="spellEnd"/>
      <w:r w:rsidRPr="000753B7">
        <w:rPr>
          <w:rFonts w:ascii="Arial" w:hAnsi="Arial" w:cs="Arial"/>
        </w:rPr>
        <w:t xml:space="preserve"> seleccionadas entre 2,4% y 4,3%, mientras que en las </w:t>
      </w:r>
      <w:proofErr w:type="spellStart"/>
      <w:r w:rsidRPr="000753B7">
        <w:rPr>
          <w:rFonts w:ascii="Arial" w:hAnsi="Arial" w:cs="Arial"/>
        </w:rPr>
        <w:t>calls</w:t>
      </w:r>
      <w:proofErr w:type="spellEnd"/>
      <w:r w:rsidRPr="000753B7">
        <w:rPr>
          <w:rFonts w:ascii="Arial" w:hAnsi="Arial" w:cs="Arial"/>
        </w:rPr>
        <w:t xml:space="preserve"> el efecto es prácticamente nulo.</w:t>
      </w:r>
    </w:p>
    <w:p w14:paraId="5BFD50F1" w14:textId="77777777" w:rsidR="000753B7" w:rsidRDefault="000753B7" w:rsidP="00234F89">
      <w:pPr>
        <w:spacing w:line="360" w:lineRule="auto"/>
        <w:jc w:val="both"/>
        <w:rPr>
          <w:rFonts w:ascii="Arial" w:hAnsi="Arial" w:cs="Arial"/>
          <w:sz w:val="18"/>
          <w:highlight w:val="yellow"/>
        </w:rPr>
      </w:pPr>
    </w:p>
    <w:p w14:paraId="72F47546" w14:textId="07EDC42E" w:rsidR="00234F89" w:rsidRDefault="00234F89" w:rsidP="000753B7">
      <w:pPr>
        <w:pStyle w:val="Ttulo1"/>
        <w:rPr>
          <w:rFonts w:ascii="Arial" w:hAnsi="Arial" w:cs="Arial"/>
          <w:b/>
          <w:color w:val="auto"/>
          <w:sz w:val="22"/>
          <w:szCs w:val="22"/>
        </w:rPr>
      </w:pPr>
      <w:bookmarkStart w:id="7" w:name="_Toc241594190"/>
      <w:r w:rsidRPr="000753B7">
        <w:rPr>
          <w:rFonts w:ascii="Arial" w:hAnsi="Arial" w:cs="Arial"/>
          <w:b/>
          <w:color w:val="auto"/>
          <w:sz w:val="22"/>
          <w:szCs w:val="22"/>
        </w:rPr>
        <w:t>Diseño de coberturas</w:t>
      </w:r>
      <w:bookmarkEnd w:id="7"/>
    </w:p>
    <w:p w14:paraId="478BC73E" w14:textId="77777777" w:rsidR="000753B7" w:rsidRPr="000753B7" w:rsidRDefault="000753B7" w:rsidP="000753B7"/>
    <w:p w14:paraId="49875699" w14:textId="014D8ED0" w:rsidR="000753B7" w:rsidRPr="000753B7" w:rsidRDefault="000753B7" w:rsidP="00234F89">
      <w:pPr>
        <w:spacing w:line="360" w:lineRule="auto"/>
        <w:jc w:val="both"/>
        <w:rPr>
          <w:rFonts w:ascii="Arial" w:hAnsi="Arial" w:cs="Arial"/>
        </w:rPr>
      </w:pPr>
      <w:r w:rsidRPr="000753B7">
        <w:rPr>
          <w:rFonts w:ascii="Arial" w:hAnsi="Arial" w:cs="Arial"/>
        </w:rPr>
        <w:t>Se estableció una cobertura objetivo del 85% de las posiciones mediante contratos estandarizados de 100 acciones, con esta instrucción se tiene una cobertura efectiva de 85,74% para LLY, 85,35% para ORCL y 84,85% para GD, diferencias explicadas por la imposibilidad de contratar fracciones de opciones. La cobertura no busca eliminar completamente la exposición diaria al precio, sino establecer un piso de protección al vencimiento.</w:t>
      </w:r>
    </w:p>
    <w:p w14:paraId="176C82FA" w14:textId="38E97A41" w:rsidR="000753B7" w:rsidRDefault="000753B7" w:rsidP="00234F89">
      <w:pPr>
        <w:spacing w:line="360" w:lineRule="auto"/>
        <w:jc w:val="both"/>
        <w:rPr>
          <w:rFonts w:ascii="Arial" w:hAnsi="Arial" w:cs="Arial"/>
          <w:sz w:val="18"/>
        </w:rPr>
      </w:pPr>
    </w:p>
    <w:p w14:paraId="7003CEE3" w14:textId="77777777" w:rsidR="000753B7" w:rsidRDefault="000753B7" w:rsidP="00234F89">
      <w:pPr>
        <w:spacing w:line="360" w:lineRule="auto"/>
        <w:jc w:val="both"/>
        <w:rPr>
          <w:rFonts w:ascii="Arial" w:hAnsi="Arial" w:cs="Arial"/>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1648"/>
        <w:gridCol w:w="1251"/>
        <w:gridCol w:w="1274"/>
        <w:gridCol w:w="3314"/>
      </w:tblGrid>
      <w:tr w:rsidR="000753B7" w:rsidRPr="000753B7" w14:paraId="3C2BAA75" w14:textId="77777777" w:rsidTr="000753B7">
        <w:trPr>
          <w:tblHeader/>
          <w:tblCellSpacing w:w="15" w:type="dxa"/>
        </w:trPr>
        <w:tc>
          <w:tcPr>
            <w:tcW w:w="0" w:type="auto"/>
            <w:vAlign w:val="center"/>
            <w:hideMark/>
          </w:tcPr>
          <w:p w14:paraId="0109F57D" w14:textId="77777777" w:rsidR="000753B7" w:rsidRPr="000753B7" w:rsidRDefault="000753B7" w:rsidP="000753B7">
            <w:pPr>
              <w:spacing w:after="0" w:line="240" w:lineRule="auto"/>
              <w:jc w:val="center"/>
              <w:rPr>
                <w:rFonts w:ascii="Arial" w:eastAsia="Times New Roman" w:hAnsi="Arial" w:cs="Arial"/>
                <w:b/>
                <w:bCs/>
                <w:lang w:eastAsia="es-CO"/>
              </w:rPr>
            </w:pPr>
            <w:r w:rsidRPr="000753B7">
              <w:rPr>
                <w:rFonts w:ascii="Arial" w:eastAsia="Times New Roman" w:hAnsi="Arial" w:cs="Arial"/>
                <w:b/>
                <w:bCs/>
                <w:lang w:eastAsia="es-CO"/>
              </w:rPr>
              <w:t>Estrategia</w:t>
            </w:r>
          </w:p>
        </w:tc>
        <w:tc>
          <w:tcPr>
            <w:tcW w:w="0" w:type="auto"/>
            <w:vAlign w:val="center"/>
            <w:hideMark/>
          </w:tcPr>
          <w:p w14:paraId="761B6325" w14:textId="77777777" w:rsidR="000753B7" w:rsidRPr="000753B7" w:rsidRDefault="000753B7" w:rsidP="000753B7">
            <w:pPr>
              <w:spacing w:after="0" w:line="240" w:lineRule="auto"/>
              <w:jc w:val="center"/>
              <w:rPr>
                <w:rFonts w:ascii="Arial" w:eastAsia="Times New Roman" w:hAnsi="Arial" w:cs="Arial"/>
                <w:b/>
                <w:bCs/>
                <w:lang w:eastAsia="es-CO"/>
              </w:rPr>
            </w:pPr>
            <w:r w:rsidRPr="000753B7">
              <w:rPr>
                <w:rFonts w:ascii="Arial" w:eastAsia="Times New Roman" w:hAnsi="Arial" w:cs="Arial"/>
                <w:b/>
                <w:bCs/>
                <w:lang w:eastAsia="es-CO"/>
              </w:rPr>
              <w:t>Estructura</w:t>
            </w:r>
          </w:p>
        </w:tc>
        <w:tc>
          <w:tcPr>
            <w:tcW w:w="0" w:type="auto"/>
            <w:vAlign w:val="center"/>
            <w:hideMark/>
          </w:tcPr>
          <w:p w14:paraId="13B77F20" w14:textId="64E18712" w:rsidR="000753B7" w:rsidRPr="000753B7" w:rsidRDefault="000753B7" w:rsidP="000753B7">
            <w:pPr>
              <w:spacing w:after="0" w:line="240" w:lineRule="auto"/>
              <w:jc w:val="center"/>
              <w:rPr>
                <w:rFonts w:ascii="Arial" w:eastAsia="Times New Roman" w:hAnsi="Arial" w:cs="Arial"/>
                <w:b/>
                <w:bCs/>
                <w:lang w:eastAsia="es-CO"/>
              </w:rPr>
            </w:pPr>
            <w:r w:rsidRPr="000753B7">
              <w:rPr>
                <w:rFonts w:ascii="Arial" w:eastAsia="Times New Roman" w:hAnsi="Arial" w:cs="Arial"/>
                <w:b/>
                <w:bCs/>
                <w:lang w:eastAsia="es-CO"/>
              </w:rPr>
              <w:t>Costo de prima</w:t>
            </w:r>
            <w:r>
              <w:rPr>
                <w:rFonts w:ascii="Arial" w:eastAsia="Times New Roman" w:hAnsi="Arial" w:cs="Arial"/>
                <w:b/>
                <w:bCs/>
                <w:lang w:eastAsia="es-CO"/>
              </w:rPr>
              <w:t xml:space="preserve"> USD</w:t>
            </w:r>
          </w:p>
        </w:tc>
        <w:tc>
          <w:tcPr>
            <w:tcW w:w="0" w:type="auto"/>
            <w:vAlign w:val="center"/>
            <w:hideMark/>
          </w:tcPr>
          <w:p w14:paraId="0194B73C" w14:textId="77777777" w:rsidR="000753B7" w:rsidRPr="000753B7" w:rsidRDefault="000753B7" w:rsidP="000753B7">
            <w:pPr>
              <w:spacing w:after="0" w:line="240" w:lineRule="auto"/>
              <w:jc w:val="center"/>
              <w:rPr>
                <w:rFonts w:ascii="Arial" w:eastAsia="Times New Roman" w:hAnsi="Arial" w:cs="Arial"/>
                <w:b/>
                <w:bCs/>
                <w:lang w:eastAsia="es-CO"/>
              </w:rPr>
            </w:pPr>
            <w:r w:rsidRPr="000753B7">
              <w:rPr>
                <w:rFonts w:ascii="Arial" w:eastAsia="Times New Roman" w:hAnsi="Arial" w:cs="Arial"/>
                <w:b/>
                <w:bCs/>
                <w:lang w:eastAsia="es-CO"/>
              </w:rPr>
              <w:t>% del portafolio</w:t>
            </w:r>
          </w:p>
        </w:tc>
        <w:tc>
          <w:tcPr>
            <w:tcW w:w="0" w:type="auto"/>
            <w:vAlign w:val="center"/>
            <w:hideMark/>
          </w:tcPr>
          <w:p w14:paraId="41462CA6" w14:textId="77777777" w:rsidR="000753B7" w:rsidRPr="000753B7" w:rsidRDefault="000753B7" w:rsidP="000753B7">
            <w:pPr>
              <w:spacing w:after="0" w:line="240" w:lineRule="auto"/>
              <w:jc w:val="center"/>
              <w:rPr>
                <w:rFonts w:ascii="Arial" w:eastAsia="Times New Roman" w:hAnsi="Arial" w:cs="Arial"/>
                <w:b/>
                <w:bCs/>
                <w:lang w:eastAsia="es-CO"/>
              </w:rPr>
            </w:pPr>
            <w:r w:rsidRPr="000753B7">
              <w:rPr>
                <w:rFonts w:ascii="Arial" w:eastAsia="Times New Roman" w:hAnsi="Arial" w:cs="Arial"/>
                <w:b/>
                <w:bCs/>
                <w:lang w:eastAsia="es-CO"/>
              </w:rPr>
              <w:t>Característica principal</w:t>
            </w:r>
          </w:p>
        </w:tc>
      </w:tr>
      <w:tr w:rsidR="000753B7" w:rsidRPr="000753B7" w14:paraId="78662698" w14:textId="77777777" w:rsidTr="000753B7">
        <w:trPr>
          <w:tblCellSpacing w:w="15" w:type="dxa"/>
        </w:trPr>
        <w:tc>
          <w:tcPr>
            <w:tcW w:w="0" w:type="auto"/>
            <w:vAlign w:val="center"/>
            <w:hideMark/>
          </w:tcPr>
          <w:p w14:paraId="72371AC0" w14:textId="7CBD834B" w:rsidR="000753B7" w:rsidRPr="000753B7" w:rsidRDefault="000753B7" w:rsidP="000753B7">
            <w:pPr>
              <w:spacing w:after="0" w:line="240" w:lineRule="auto"/>
              <w:rPr>
                <w:rFonts w:ascii="Arial" w:eastAsia="Times New Roman" w:hAnsi="Arial" w:cs="Arial"/>
                <w:lang w:eastAsia="es-CO"/>
              </w:rPr>
            </w:pPr>
            <w:proofErr w:type="spellStart"/>
            <w:r w:rsidRPr="000753B7">
              <w:rPr>
                <w:rFonts w:ascii="Arial" w:eastAsia="Times New Roman" w:hAnsi="Arial" w:cs="Arial"/>
                <w:b/>
                <w:bCs/>
                <w:lang w:eastAsia="es-CO"/>
              </w:rPr>
              <w:t>Protective</w:t>
            </w:r>
            <w:proofErr w:type="spellEnd"/>
            <w:r w:rsidRPr="000753B7">
              <w:rPr>
                <w:rFonts w:ascii="Arial" w:eastAsia="Times New Roman" w:hAnsi="Arial" w:cs="Arial"/>
                <w:b/>
                <w:bCs/>
                <w:lang w:eastAsia="es-CO"/>
              </w:rPr>
              <w:t xml:space="preserve"> </w:t>
            </w:r>
            <w:proofErr w:type="spellStart"/>
            <w:r w:rsidRPr="000753B7">
              <w:rPr>
                <w:rFonts w:ascii="Arial" w:eastAsia="Times New Roman" w:hAnsi="Arial" w:cs="Arial"/>
                <w:b/>
                <w:bCs/>
                <w:lang w:eastAsia="es-CO"/>
              </w:rPr>
              <w:t>Put</w:t>
            </w:r>
            <w:proofErr w:type="spellEnd"/>
          </w:p>
        </w:tc>
        <w:tc>
          <w:tcPr>
            <w:tcW w:w="0" w:type="auto"/>
            <w:vAlign w:val="center"/>
            <w:hideMark/>
          </w:tcPr>
          <w:p w14:paraId="470A2632" w14:textId="77777777" w:rsidR="000753B7" w:rsidRPr="000753B7" w:rsidRDefault="000753B7" w:rsidP="000753B7">
            <w:pPr>
              <w:spacing w:after="0" w:line="240" w:lineRule="auto"/>
              <w:rPr>
                <w:rFonts w:ascii="Arial" w:eastAsia="Times New Roman" w:hAnsi="Arial" w:cs="Arial"/>
                <w:lang w:eastAsia="es-CO"/>
              </w:rPr>
            </w:pPr>
            <w:r w:rsidRPr="000753B7">
              <w:rPr>
                <w:rFonts w:ascii="Arial" w:eastAsia="Times New Roman" w:hAnsi="Arial" w:cs="Arial"/>
                <w:lang w:eastAsia="es-CO"/>
              </w:rPr>
              <w:t xml:space="preserve">Acción + </w:t>
            </w:r>
            <w:proofErr w:type="spellStart"/>
            <w:r w:rsidRPr="000753B7">
              <w:rPr>
                <w:rFonts w:ascii="Arial" w:eastAsia="Times New Roman" w:hAnsi="Arial" w:cs="Arial"/>
                <w:lang w:eastAsia="es-CO"/>
              </w:rPr>
              <w:t>put</w:t>
            </w:r>
            <w:proofErr w:type="spellEnd"/>
          </w:p>
        </w:tc>
        <w:tc>
          <w:tcPr>
            <w:tcW w:w="0" w:type="auto"/>
            <w:vAlign w:val="center"/>
            <w:hideMark/>
          </w:tcPr>
          <w:p w14:paraId="6B681C1C" w14:textId="1DE47D70" w:rsidR="000753B7" w:rsidRPr="000753B7" w:rsidRDefault="000753B7" w:rsidP="000753B7">
            <w:pPr>
              <w:spacing w:after="0" w:line="240" w:lineRule="auto"/>
              <w:jc w:val="right"/>
              <w:rPr>
                <w:rFonts w:ascii="Arial" w:eastAsia="Times New Roman" w:hAnsi="Arial" w:cs="Arial"/>
                <w:lang w:eastAsia="es-CO"/>
              </w:rPr>
            </w:pPr>
            <w:r w:rsidRPr="000753B7">
              <w:rPr>
                <w:rFonts w:ascii="Arial" w:eastAsia="Times New Roman" w:hAnsi="Arial" w:cs="Arial"/>
                <w:lang w:eastAsia="es-CO"/>
              </w:rPr>
              <w:t>925.290</w:t>
            </w:r>
          </w:p>
        </w:tc>
        <w:tc>
          <w:tcPr>
            <w:tcW w:w="0" w:type="auto"/>
            <w:vAlign w:val="center"/>
            <w:hideMark/>
          </w:tcPr>
          <w:p w14:paraId="140B571C" w14:textId="77777777" w:rsidR="000753B7" w:rsidRPr="000753B7" w:rsidRDefault="000753B7" w:rsidP="000753B7">
            <w:pPr>
              <w:spacing w:after="0" w:line="240" w:lineRule="auto"/>
              <w:jc w:val="right"/>
              <w:rPr>
                <w:rFonts w:ascii="Arial" w:eastAsia="Times New Roman" w:hAnsi="Arial" w:cs="Arial"/>
                <w:lang w:eastAsia="es-CO"/>
              </w:rPr>
            </w:pPr>
            <w:r w:rsidRPr="000753B7">
              <w:rPr>
                <w:rFonts w:ascii="Arial" w:eastAsia="Times New Roman" w:hAnsi="Arial" w:cs="Arial"/>
                <w:lang w:eastAsia="es-CO"/>
              </w:rPr>
              <w:t>9,25 %</w:t>
            </w:r>
          </w:p>
        </w:tc>
        <w:tc>
          <w:tcPr>
            <w:tcW w:w="0" w:type="auto"/>
            <w:vAlign w:val="center"/>
            <w:hideMark/>
          </w:tcPr>
          <w:p w14:paraId="1219873F" w14:textId="77777777" w:rsidR="000753B7" w:rsidRPr="000753B7" w:rsidRDefault="000753B7" w:rsidP="000753B7">
            <w:pPr>
              <w:spacing w:after="0" w:line="240" w:lineRule="auto"/>
              <w:rPr>
                <w:rFonts w:ascii="Arial" w:eastAsia="Times New Roman" w:hAnsi="Arial" w:cs="Arial"/>
                <w:lang w:eastAsia="es-CO"/>
              </w:rPr>
            </w:pPr>
            <w:r w:rsidRPr="000753B7">
              <w:rPr>
                <w:rFonts w:ascii="Arial" w:eastAsia="Times New Roman" w:hAnsi="Arial" w:cs="Arial"/>
                <w:lang w:eastAsia="es-CO"/>
              </w:rPr>
              <w:t>Piso de protección y conserva el potencial alcista</w:t>
            </w:r>
          </w:p>
        </w:tc>
      </w:tr>
      <w:tr w:rsidR="000753B7" w:rsidRPr="000753B7" w14:paraId="30303A0F" w14:textId="77777777" w:rsidTr="000753B7">
        <w:trPr>
          <w:tblCellSpacing w:w="15" w:type="dxa"/>
        </w:trPr>
        <w:tc>
          <w:tcPr>
            <w:tcW w:w="0" w:type="auto"/>
            <w:vAlign w:val="center"/>
            <w:hideMark/>
          </w:tcPr>
          <w:p w14:paraId="01E38398" w14:textId="592198C0" w:rsidR="000753B7" w:rsidRPr="000753B7" w:rsidRDefault="000753B7" w:rsidP="000753B7">
            <w:pPr>
              <w:spacing w:after="0" w:line="240" w:lineRule="auto"/>
              <w:rPr>
                <w:rFonts w:ascii="Arial" w:eastAsia="Times New Roman" w:hAnsi="Arial" w:cs="Arial"/>
                <w:lang w:eastAsia="es-CO"/>
              </w:rPr>
            </w:pPr>
            <w:r w:rsidRPr="000753B7">
              <w:rPr>
                <w:rFonts w:ascii="Arial" w:eastAsia="Times New Roman" w:hAnsi="Arial" w:cs="Arial"/>
                <w:b/>
                <w:bCs/>
                <w:lang w:eastAsia="es-CO"/>
              </w:rPr>
              <w:lastRenderedPageBreak/>
              <w:t>Collar</w:t>
            </w:r>
          </w:p>
        </w:tc>
        <w:tc>
          <w:tcPr>
            <w:tcW w:w="0" w:type="auto"/>
            <w:vAlign w:val="center"/>
            <w:hideMark/>
          </w:tcPr>
          <w:p w14:paraId="103C00C4" w14:textId="77777777" w:rsidR="000753B7" w:rsidRPr="000753B7" w:rsidRDefault="000753B7" w:rsidP="000753B7">
            <w:pPr>
              <w:spacing w:after="0" w:line="240" w:lineRule="auto"/>
              <w:rPr>
                <w:rFonts w:ascii="Arial" w:eastAsia="Times New Roman" w:hAnsi="Arial" w:cs="Arial"/>
                <w:lang w:eastAsia="es-CO"/>
              </w:rPr>
            </w:pPr>
            <w:r w:rsidRPr="000753B7">
              <w:rPr>
                <w:rFonts w:ascii="Arial" w:eastAsia="Times New Roman" w:hAnsi="Arial" w:cs="Arial"/>
                <w:lang w:eastAsia="es-CO"/>
              </w:rPr>
              <w:t xml:space="preserve">Acción + </w:t>
            </w:r>
            <w:proofErr w:type="spellStart"/>
            <w:r w:rsidRPr="000753B7">
              <w:rPr>
                <w:rFonts w:ascii="Arial" w:eastAsia="Times New Roman" w:hAnsi="Arial" w:cs="Arial"/>
                <w:lang w:eastAsia="es-CO"/>
              </w:rPr>
              <w:t>put</w:t>
            </w:r>
            <w:proofErr w:type="spellEnd"/>
            <w:r w:rsidRPr="000753B7">
              <w:rPr>
                <w:rFonts w:ascii="Arial" w:eastAsia="Times New Roman" w:hAnsi="Arial" w:cs="Arial"/>
                <w:lang w:eastAsia="es-CO"/>
              </w:rPr>
              <w:t xml:space="preserve"> − </w:t>
            </w:r>
            <w:proofErr w:type="spellStart"/>
            <w:r w:rsidRPr="000753B7">
              <w:rPr>
                <w:rFonts w:ascii="Arial" w:eastAsia="Times New Roman" w:hAnsi="Arial" w:cs="Arial"/>
                <w:lang w:eastAsia="es-CO"/>
              </w:rPr>
              <w:t>call</w:t>
            </w:r>
            <w:proofErr w:type="spellEnd"/>
          </w:p>
        </w:tc>
        <w:tc>
          <w:tcPr>
            <w:tcW w:w="0" w:type="auto"/>
            <w:vAlign w:val="center"/>
            <w:hideMark/>
          </w:tcPr>
          <w:p w14:paraId="68F60890" w14:textId="73983137" w:rsidR="000753B7" w:rsidRPr="000753B7" w:rsidRDefault="000753B7" w:rsidP="000753B7">
            <w:pPr>
              <w:spacing w:after="0" w:line="240" w:lineRule="auto"/>
              <w:jc w:val="right"/>
              <w:rPr>
                <w:rFonts w:ascii="Arial" w:eastAsia="Times New Roman" w:hAnsi="Arial" w:cs="Arial"/>
                <w:lang w:eastAsia="es-CO"/>
              </w:rPr>
            </w:pPr>
            <w:r w:rsidRPr="000753B7">
              <w:rPr>
                <w:rFonts w:ascii="Arial" w:eastAsia="Times New Roman" w:hAnsi="Arial" w:cs="Arial"/>
                <w:lang w:eastAsia="es-CO"/>
              </w:rPr>
              <w:t>277.275</w:t>
            </w:r>
          </w:p>
        </w:tc>
        <w:tc>
          <w:tcPr>
            <w:tcW w:w="0" w:type="auto"/>
            <w:vAlign w:val="center"/>
            <w:hideMark/>
          </w:tcPr>
          <w:p w14:paraId="41B37758" w14:textId="77777777" w:rsidR="000753B7" w:rsidRPr="000753B7" w:rsidRDefault="000753B7" w:rsidP="000753B7">
            <w:pPr>
              <w:spacing w:after="0" w:line="240" w:lineRule="auto"/>
              <w:jc w:val="right"/>
              <w:rPr>
                <w:rFonts w:ascii="Arial" w:eastAsia="Times New Roman" w:hAnsi="Arial" w:cs="Arial"/>
                <w:lang w:eastAsia="es-CO"/>
              </w:rPr>
            </w:pPr>
            <w:r w:rsidRPr="000753B7">
              <w:rPr>
                <w:rFonts w:ascii="Arial" w:eastAsia="Times New Roman" w:hAnsi="Arial" w:cs="Arial"/>
                <w:lang w:eastAsia="es-CO"/>
              </w:rPr>
              <w:t>2,77 %</w:t>
            </w:r>
          </w:p>
        </w:tc>
        <w:tc>
          <w:tcPr>
            <w:tcW w:w="0" w:type="auto"/>
            <w:vAlign w:val="center"/>
            <w:hideMark/>
          </w:tcPr>
          <w:p w14:paraId="1CF64E8D" w14:textId="77777777" w:rsidR="000753B7" w:rsidRPr="000753B7" w:rsidRDefault="000753B7" w:rsidP="000753B7">
            <w:pPr>
              <w:spacing w:after="0" w:line="240" w:lineRule="auto"/>
              <w:rPr>
                <w:rFonts w:ascii="Arial" w:eastAsia="Times New Roman" w:hAnsi="Arial" w:cs="Arial"/>
                <w:lang w:eastAsia="es-CO"/>
              </w:rPr>
            </w:pPr>
            <w:r w:rsidRPr="000753B7">
              <w:rPr>
                <w:rFonts w:ascii="Arial" w:eastAsia="Times New Roman" w:hAnsi="Arial" w:cs="Arial"/>
                <w:lang w:eastAsia="es-CO"/>
              </w:rPr>
              <w:t>Reduce el costo, pero limita la ganancia</w:t>
            </w:r>
          </w:p>
        </w:tc>
      </w:tr>
      <w:tr w:rsidR="000753B7" w:rsidRPr="000753B7" w14:paraId="65D58363" w14:textId="77777777" w:rsidTr="000753B7">
        <w:trPr>
          <w:tblCellSpacing w:w="15" w:type="dxa"/>
        </w:trPr>
        <w:tc>
          <w:tcPr>
            <w:tcW w:w="0" w:type="auto"/>
            <w:vAlign w:val="center"/>
            <w:hideMark/>
          </w:tcPr>
          <w:p w14:paraId="45302C30" w14:textId="3E845228" w:rsidR="000753B7" w:rsidRPr="000753B7" w:rsidRDefault="000753B7" w:rsidP="000753B7">
            <w:pPr>
              <w:spacing w:after="0" w:line="240" w:lineRule="auto"/>
              <w:rPr>
                <w:rFonts w:ascii="Arial" w:eastAsia="Times New Roman" w:hAnsi="Arial" w:cs="Arial"/>
                <w:lang w:eastAsia="es-CO"/>
              </w:rPr>
            </w:pPr>
            <w:r w:rsidRPr="000753B7">
              <w:rPr>
                <w:rFonts w:ascii="Arial" w:eastAsia="Times New Roman" w:hAnsi="Arial" w:cs="Arial"/>
                <w:b/>
                <w:bCs/>
                <w:lang w:eastAsia="es-CO"/>
              </w:rPr>
              <w:t xml:space="preserve">Bear </w:t>
            </w:r>
            <w:proofErr w:type="spellStart"/>
            <w:r w:rsidRPr="000753B7">
              <w:rPr>
                <w:rFonts w:ascii="Arial" w:eastAsia="Times New Roman" w:hAnsi="Arial" w:cs="Arial"/>
                <w:b/>
                <w:bCs/>
                <w:lang w:eastAsia="es-CO"/>
              </w:rPr>
              <w:t>Put</w:t>
            </w:r>
            <w:proofErr w:type="spellEnd"/>
            <w:r w:rsidRPr="000753B7">
              <w:rPr>
                <w:rFonts w:ascii="Arial" w:eastAsia="Times New Roman" w:hAnsi="Arial" w:cs="Arial"/>
                <w:b/>
                <w:bCs/>
                <w:lang w:eastAsia="es-CO"/>
              </w:rPr>
              <w:t xml:space="preserve"> Spread</w:t>
            </w:r>
          </w:p>
        </w:tc>
        <w:tc>
          <w:tcPr>
            <w:tcW w:w="0" w:type="auto"/>
            <w:vAlign w:val="center"/>
            <w:hideMark/>
          </w:tcPr>
          <w:p w14:paraId="641C0600" w14:textId="77777777" w:rsidR="000753B7" w:rsidRPr="000753B7" w:rsidRDefault="000753B7" w:rsidP="000753B7">
            <w:pPr>
              <w:spacing w:after="0" w:line="240" w:lineRule="auto"/>
              <w:rPr>
                <w:rFonts w:ascii="Arial" w:eastAsia="Times New Roman" w:hAnsi="Arial" w:cs="Arial"/>
                <w:lang w:eastAsia="es-CO"/>
              </w:rPr>
            </w:pPr>
            <w:proofErr w:type="spellStart"/>
            <w:r w:rsidRPr="000753B7">
              <w:rPr>
                <w:rFonts w:ascii="Arial" w:eastAsia="Times New Roman" w:hAnsi="Arial" w:cs="Arial"/>
                <w:lang w:eastAsia="es-CO"/>
              </w:rPr>
              <w:t>Put</w:t>
            </w:r>
            <w:proofErr w:type="spellEnd"/>
            <w:r w:rsidRPr="000753B7">
              <w:rPr>
                <w:rFonts w:ascii="Arial" w:eastAsia="Times New Roman" w:hAnsi="Arial" w:cs="Arial"/>
                <w:lang w:eastAsia="es-CO"/>
              </w:rPr>
              <w:t xml:space="preserve"> comprada − </w:t>
            </w:r>
            <w:proofErr w:type="spellStart"/>
            <w:r w:rsidRPr="000753B7">
              <w:rPr>
                <w:rFonts w:ascii="Arial" w:eastAsia="Times New Roman" w:hAnsi="Arial" w:cs="Arial"/>
                <w:lang w:eastAsia="es-CO"/>
              </w:rPr>
              <w:t>put</w:t>
            </w:r>
            <w:proofErr w:type="spellEnd"/>
            <w:r w:rsidRPr="000753B7">
              <w:rPr>
                <w:rFonts w:ascii="Arial" w:eastAsia="Times New Roman" w:hAnsi="Arial" w:cs="Arial"/>
                <w:lang w:eastAsia="es-CO"/>
              </w:rPr>
              <w:t xml:space="preserve"> vendida</w:t>
            </w:r>
          </w:p>
        </w:tc>
        <w:tc>
          <w:tcPr>
            <w:tcW w:w="0" w:type="auto"/>
            <w:vAlign w:val="center"/>
            <w:hideMark/>
          </w:tcPr>
          <w:p w14:paraId="221F22AA" w14:textId="4A574122" w:rsidR="000753B7" w:rsidRPr="000753B7" w:rsidRDefault="000753B7" w:rsidP="000753B7">
            <w:pPr>
              <w:spacing w:after="0" w:line="240" w:lineRule="auto"/>
              <w:jc w:val="right"/>
              <w:rPr>
                <w:rFonts w:ascii="Arial" w:eastAsia="Times New Roman" w:hAnsi="Arial" w:cs="Arial"/>
                <w:lang w:eastAsia="es-CO"/>
              </w:rPr>
            </w:pPr>
            <w:r w:rsidRPr="000753B7">
              <w:rPr>
                <w:rFonts w:ascii="Arial" w:eastAsia="Times New Roman" w:hAnsi="Arial" w:cs="Arial"/>
                <w:lang w:eastAsia="es-CO"/>
              </w:rPr>
              <w:t>800.370</w:t>
            </w:r>
          </w:p>
        </w:tc>
        <w:tc>
          <w:tcPr>
            <w:tcW w:w="0" w:type="auto"/>
            <w:vAlign w:val="center"/>
            <w:hideMark/>
          </w:tcPr>
          <w:p w14:paraId="1F81A67B" w14:textId="77777777" w:rsidR="000753B7" w:rsidRPr="000753B7" w:rsidRDefault="000753B7" w:rsidP="000753B7">
            <w:pPr>
              <w:spacing w:after="0" w:line="240" w:lineRule="auto"/>
              <w:jc w:val="right"/>
              <w:rPr>
                <w:rFonts w:ascii="Arial" w:eastAsia="Times New Roman" w:hAnsi="Arial" w:cs="Arial"/>
                <w:lang w:eastAsia="es-CO"/>
              </w:rPr>
            </w:pPr>
            <w:r w:rsidRPr="000753B7">
              <w:rPr>
                <w:rFonts w:ascii="Arial" w:eastAsia="Times New Roman" w:hAnsi="Arial" w:cs="Arial"/>
                <w:lang w:eastAsia="es-CO"/>
              </w:rPr>
              <w:t>8,00 %</w:t>
            </w:r>
          </w:p>
        </w:tc>
        <w:tc>
          <w:tcPr>
            <w:tcW w:w="0" w:type="auto"/>
            <w:vAlign w:val="center"/>
            <w:hideMark/>
          </w:tcPr>
          <w:p w14:paraId="4BDC848A" w14:textId="77777777" w:rsidR="000753B7" w:rsidRPr="000753B7" w:rsidRDefault="000753B7" w:rsidP="000753B7">
            <w:pPr>
              <w:spacing w:after="0" w:line="240" w:lineRule="auto"/>
              <w:rPr>
                <w:rFonts w:ascii="Arial" w:eastAsia="Times New Roman" w:hAnsi="Arial" w:cs="Arial"/>
                <w:lang w:eastAsia="es-CO"/>
              </w:rPr>
            </w:pPr>
            <w:r w:rsidRPr="000753B7">
              <w:rPr>
                <w:rFonts w:ascii="Arial" w:eastAsia="Times New Roman" w:hAnsi="Arial" w:cs="Arial"/>
                <w:lang w:eastAsia="es-CO"/>
              </w:rPr>
              <w:t>Reduce el costo de la protección, pero limita la cobertura ante caídas extremas</w:t>
            </w:r>
          </w:p>
        </w:tc>
      </w:tr>
    </w:tbl>
    <w:p w14:paraId="21035687" w14:textId="24644095" w:rsidR="000753B7" w:rsidRDefault="000753B7" w:rsidP="00234F89">
      <w:pPr>
        <w:spacing w:line="360" w:lineRule="auto"/>
        <w:jc w:val="both"/>
        <w:rPr>
          <w:rFonts w:ascii="Arial" w:hAnsi="Arial" w:cs="Arial"/>
          <w:sz w:val="18"/>
          <w:highlight w:val="yellow"/>
        </w:rPr>
      </w:pPr>
    </w:p>
    <w:p w14:paraId="350E6966" w14:textId="08D20C76" w:rsidR="000753B7" w:rsidRPr="002C6901" w:rsidRDefault="002C6901" w:rsidP="00234F89">
      <w:pPr>
        <w:spacing w:line="360" w:lineRule="auto"/>
        <w:jc w:val="both"/>
        <w:rPr>
          <w:rFonts w:ascii="Arial" w:hAnsi="Arial" w:cs="Arial"/>
          <w:highlight w:val="yellow"/>
        </w:rPr>
      </w:pPr>
      <w:r w:rsidRPr="002C6901">
        <w:rPr>
          <w:rFonts w:ascii="Arial" w:hAnsi="Arial" w:cs="Arial"/>
        </w:rPr>
        <w:t>Analizando las estrategias de cobertura, l</w:t>
      </w:r>
      <w:r w:rsidR="000753B7" w:rsidRPr="002C6901">
        <w:rPr>
          <w:rFonts w:ascii="Arial" w:hAnsi="Arial" w:cs="Arial"/>
        </w:rPr>
        <w:t xml:space="preserve">a </w:t>
      </w:r>
      <w:proofErr w:type="spellStart"/>
      <w:r w:rsidR="000753B7" w:rsidRPr="002C6901">
        <w:rPr>
          <w:rFonts w:ascii="Arial" w:hAnsi="Arial" w:cs="Arial"/>
        </w:rPr>
        <w:t>protective</w:t>
      </w:r>
      <w:proofErr w:type="spellEnd"/>
      <w:r w:rsidR="000753B7" w:rsidRPr="002C6901">
        <w:rPr>
          <w:rFonts w:ascii="Arial" w:hAnsi="Arial" w:cs="Arial"/>
        </w:rPr>
        <w:t xml:space="preserve"> </w:t>
      </w:r>
      <w:proofErr w:type="spellStart"/>
      <w:r w:rsidR="000753B7" w:rsidRPr="002C6901">
        <w:rPr>
          <w:rFonts w:ascii="Arial" w:hAnsi="Arial" w:cs="Arial"/>
        </w:rPr>
        <w:t>put</w:t>
      </w:r>
      <w:proofErr w:type="spellEnd"/>
      <w:r w:rsidR="000753B7" w:rsidRPr="002C6901">
        <w:rPr>
          <w:rFonts w:ascii="Arial" w:hAnsi="Arial" w:cs="Arial"/>
        </w:rPr>
        <w:t xml:space="preserve"> proporciona protección directa frente a caídas y mantiene el potencial alcista, pero presenta el mayor costo de prima. El collar reduce sustancialmente el desembolso inicial mediante la venta de una </w:t>
      </w:r>
      <w:proofErr w:type="spellStart"/>
      <w:r w:rsidR="000753B7" w:rsidRPr="002C6901">
        <w:rPr>
          <w:rFonts w:ascii="Arial" w:hAnsi="Arial" w:cs="Arial"/>
        </w:rPr>
        <w:t>call</w:t>
      </w:r>
      <w:proofErr w:type="spellEnd"/>
      <w:r w:rsidR="000753B7" w:rsidRPr="002C6901">
        <w:rPr>
          <w:rFonts w:ascii="Arial" w:hAnsi="Arial" w:cs="Arial"/>
        </w:rPr>
        <w:t xml:space="preserve">, a cambio de limitar la valorización futura de las acciones. Finalmente, el </w:t>
      </w:r>
      <w:proofErr w:type="spellStart"/>
      <w:r w:rsidR="000753B7" w:rsidRPr="002C6901">
        <w:rPr>
          <w:rFonts w:ascii="Arial" w:hAnsi="Arial" w:cs="Arial"/>
        </w:rPr>
        <w:t>bear</w:t>
      </w:r>
      <w:proofErr w:type="spellEnd"/>
      <w:r w:rsidR="000753B7" w:rsidRPr="002C6901">
        <w:rPr>
          <w:rFonts w:ascii="Arial" w:hAnsi="Arial" w:cs="Arial"/>
        </w:rPr>
        <w:t xml:space="preserve"> </w:t>
      </w:r>
      <w:proofErr w:type="spellStart"/>
      <w:r w:rsidR="000753B7" w:rsidRPr="002C6901">
        <w:rPr>
          <w:rFonts w:ascii="Arial" w:hAnsi="Arial" w:cs="Arial"/>
        </w:rPr>
        <w:t>put</w:t>
      </w:r>
      <w:proofErr w:type="spellEnd"/>
      <w:r w:rsidR="000753B7" w:rsidRPr="002C6901">
        <w:rPr>
          <w:rFonts w:ascii="Arial" w:hAnsi="Arial" w:cs="Arial"/>
        </w:rPr>
        <w:t xml:space="preserve"> spread reduce el costo de protección mediante la venta de una </w:t>
      </w:r>
      <w:proofErr w:type="spellStart"/>
      <w:r w:rsidR="000753B7" w:rsidRPr="002C6901">
        <w:rPr>
          <w:rFonts w:ascii="Arial" w:hAnsi="Arial" w:cs="Arial"/>
        </w:rPr>
        <w:t>put</w:t>
      </w:r>
      <w:proofErr w:type="spellEnd"/>
      <w:r w:rsidR="000753B7" w:rsidRPr="002C6901">
        <w:rPr>
          <w:rFonts w:ascii="Arial" w:hAnsi="Arial" w:cs="Arial"/>
        </w:rPr>
        <w:t xml:space="preserve"> de menor strike, pero establece un límite a la cobertura frente a caídas extremas. Estas estructuras permiten comparar el costo de la protección con el grado de riesgo que permanece expuesto</w:t>
      </w:r>
    </w:p>
    <w:p w14:paraId="76D15B7E" w14:textId="0386BDF8" w:rsidR="00234F89" w:rsidRPr="002C6901" w:rsidRDefault="00234F89" w:rsidP="002C6901">
      <w:pPr>
        <w:pStyle w:val="Ttulo1"/>
        <w:rPr>
          <w:rFonts w:ascii="Arial" w:hAnsi="Arial" w:cs="Arial"/>
          <w:b/>
          <w:color w:val="auto"/>
          <w:sz w:val="22"/>
          <w:szCs w:val="22"/>
        </w:rPr>
      </w:pPr>
      <w:bookmarkStart w:id="8" w:name="_Toc241594191"/>
      <w:r w:rsidRPr="002C6901">
        <w:rPr>
          <w:rFonts w:ascii="Arial" w:hAnsi="Arial" w:cs="Arial"/>
          <w:b/>
          <w:color w:val="auto"/>
          <w:sz w:val="22"/>
          <w:szCs w:val="22"/>
        </w:rPr>
        <w:t>Seguimiento trimestral y comparación cubierto/no cubierto</w:t>
      </w:r>
      <w:bookmarkEnd w:id="8"/>
    </w:p>
    <w:p w14:paraId="00D752AF" w14:textId="77777777" w:rsidR="002C6901" w:rsidRDefault="002C6901" w:rsidP="00234F89">
      <w:pPr>
        <w:spacing w:line="360" w:lineRule="auto"/>
        <w:jc w:val="both"/>
        <w:rPr>
          <w:rFonts w:ascii="Arial" w:hAnsi="Arial" w:cs="Arial"/>
          <w:sz w:val="18"/>
          <w:highlight w:val="yellow"/>
        </w:rPr>
      </w:pPr>
    </w:p>
    <w:p w14:paraId="0FA68C21" w14:textId="741F1EFD" w:rsidR="002C6901" w:rsidRPr="00035387" w:rsidRDefault="002C6901" w:rsidP="00234F89">
      <w:pPr>
        <w:spacing w:line="360" w:lineRule="auto"/>
        <w:jc w:val="both"/>
        <w:rPr>
          <w:rFonts w:ascii="Arial" w:hAnsi="Arial" w:cs="Arial"/>
        </w:rPr>
      </w:pPr>
      <w:r w:rsidRPr="00035387">
        <w:rPr>
          <w:rFonts w:ascii="Arial" w:hAnsi="Arial" w:cs="Arial"/>
        </w:rPr>
        <w:t xml:space="preserve">La cobertura se revalora al cierre de cada trimestre mediante un esquema de </w:t>
      </w:r>
      <w:proofErr w:type="spellStart"/>
      <w:r w:rsidRPr="00035387">
        <w:rPr>
          <w:rFonts w:ascii="Arial" w:hAnsi="Arial" w:cs="Arial"/>
        </w:rPr>
        <w:t>mark-to-market</w:t>
      </w:r>
      <w:proofErr w:type="spellEnd"/>
      <w:r w:rsidRPr="00035387">
        <w:rPr>
          <w:rFonts w:ascii="Arial" w:hAnsi="Arial" w:cs="Arial"/>
        </w:rPr>
        <w:t xml:space="preserve"> y se aplican reglas de mantener, ajustar, monetizar o renovar, durante la simulación de 10.000 escenarios, en el primer trimestre LLY mantiene la cobertura en aproximadamente el 69% de los escenarios, mientras que en el cuarto trimestre el 72% presenta condiciones para realizar un roll-up del strike; en el quinto trimestre se activa la renovación en el 100% de los escenarios debido a la proximidad del vencimiento de enero de 2028, en el ejercicio no se hace la renovación, por lo que los períodos T6–T8 representan escenarios sin la cobertura original.</w:t>
      </w:r>
    </w:p>
    <w:p w14:paraId="68F4C492" w14:textId="496B9D32" w:rsidR="002C6901" w:rsidRPr="00035387" w:rsidRDefault="002C6901" w:rsidP="00234F89">
      <w:pPr>
        <w:spacing w:line="360" w:lineRule="auto"/>
        <w:jc w:val="both"/>
        <w:rPr>
          <w:rFonts w:ascii="Arial" w:hAnsi="Arial" w:cs="Arial"/>
          <w:highlight w:val="yellow"/>
        </w:rPr>
      </w:pPr>
      <w:r w:rsidRPr="00035387">
        <w:rPr>
          <w:rFonts w:ascii="Arial" w:hAnsi="Arial" w:cs="Arial"/>
        </w:rPr>
        <w:t xml:space="preserve">Respecto a la comparación cubierto/no cubierto, la incorporación de opciones reduce la exposición a pérdidas extremas del portafolio, pero introduce un costo asociado a las primas y en el caso del </w:t>
      </w:r>
      <w:r w:rsidRPr="00035387">
        <w:rPr>
          <w:rFonts w:ascii="Arial" w:hAnsi="Arial" w:cs="Arial"/>
          <w:i/>
        </w:rPr>
        <w:t>collar</w:t>
      </w:r>
      <w:r w:rsidRPr="00035387">
        <w:rPr>
          <w:rFonts w:ascii="Arial" w:hAnsi="Arial" w:cs="Arial"/>
        </w:rPr>
        <w:t xml:space="preserve"> a la renuncia de parte del potencial alcista, dado que la evaluación se realiza mediante la reducción del VaR99 y del ES99 tanto por dólar de prima como por dólar de costo económico. Al vencimiento de la cobertura, el </w:t>
      </w:r>
      <w:proofErr w:type="spellStart"/>
      <w:r w:rsidRPr="00035387">
        <w:rPr>
          <w:rFonts w:ascii="Arial" w:hAnsi="Arial" w:cs="Arial"/>
        </w:rPr>
        <w:t>bear</w:t>
      </w:r>
      <w:proofErr w:type="spellEnd"/>
      <w:r w:rsidRPr="00035387">
        <w:rPr>
          <w:rFonts w:ascii="Arial" w:hAnsi="Arial" w:cs="Arial"/>
        </w:rPr>
        <w:t xml:space="preserve"> </w:t>
      </w:r>
      <w:proofErr w:type="spellStart"/>
      <w:r w:rsidRPr="00035387">
        <w:rPr>
          <w:rFonts w:ascii="Arial" w:hAnsi="Arial" w:cs="Arial"/>
        </w:rPr>
        <w:t>put</w:t>
      </w:r>
      <w:proofErr w:type="spellEnd"/>
      <w:r w:rsidRPr="00035387">
        <w:rPr>
          <w:rFonts w:ascii="Arial" w:hAnsi="Arial" w:cs="Arial"/>
        </w:rPr>
        <w:t xml:space="preserve"> spread presenta una eficiencia de aproximadamente USD 1,50 de reducción del VaR99 por cada USD de costo económico, frente a USD 1,34 para la </w:t>
      </w:r>
      <w:proofErr w:type="spellStart"/>
      <w:r w:rsidRPr="00035387">
        <w:rPr>
          <w:rFonts w:ascii="Arial" w:hAnsi="Arial" w:cs="Arial"/>
        </w:rPr>
        <w:t>protective</w:t>
      </w:r>
      <w:proofErr w:type="spellEnd"/>
      <w:r w:rsidRPr="00035387">
        <w:rPr>
          <w:rFonts w:ascii="Arial" w:hAnsi="Arial" w:cs="Arial"/>
        </w:rPr>
        <w:t xml:space="preserve"> </w:t>
      </w:r>
      <w:proofErr w:type="spellStart"/>
      <w:r w:rsidRPr="00035387">
        <w:rPr>
          <w:rFonts w:ascii="Arial" w:hAnsi="Arial" w:cs="Arial"/>
        </w:rPr>
        <w:t>put</w:t>
      </w:r>
      <w:proofErr w:type="spellEnd"/>
      <w:r w:rsidRPr="00035387">
        <w:rPr>
          <w:rFonts w:ascii="Arial" w:hAnsi="Arial" w:cs="Arial"/>
        </w:rPr>
        <w:t xml:space="preserve">. El collar presenta una prima neta inferior, pero su evaluación económica debe incorporar el potencial alcista cedido mediante la venta de </w:t>
      </w:r>
      <w:proofErr w:type="spellStart"/>
      <w:r w:rsidRPr="00035387">
        <w:rPr>
          <w:rFonts w:ascii="Arial" w:hAnsi="Arial" w:cs="Arial"/>
        </w:rPr>
        <w:t>calls</w:t>
      </w:r>
      <w:proofErr w:type="spellEnd"/>
      <w:r w:rsidRPr="00035387">
        <w:rPr>
          <w:rFonts w:ascii="Arial" w:hAnsi="Arial" w:cs="Arial"/>
        </w:rPr>
        <w:t xml:space="preserve">. Finalmente, dado que la cobertura inicial vence aproximadamente ocho </w:t>
      </w:r>
      <w:r w:rsidRPr="00035387">
        <w:rPr>
          <w:rFonts w:ascii="Arial" w:hAnsi="Arial" w:cs="Arial"/>
        </w:rPr>
        <w:lastRenderedPageBreak/>
        <w:t>meses antes del final del horizonte de inversión, el seguimiento trimestral y la renovación resultan necesarios para mantener la protección durante los 24 meses.</w:t>
      </w:r>
    </w:p>
    <w:p w14:paraId="6E63B3AB" w14:textId="368B9354" w:rsidR="00234F89" w:rsidRDefault="00234F89" w:rsidP="00035387">
      <w:pPr>
        <w:pStyle w:val="Ttulo1"/>
        <w:rPr>
          <w:rFonts w:ascii="Arial" w:hAnsi="Arial" w:cs="Arial"/>
          <w:b/>
          <w:color w:val="auto"/>
          <w:sz w:val="22"/>
          <w:szCs w:val="22"/>
        </w:rPr>
      </w:pPr>
      <w:bookmarkStart w:id="9" w:name="_Toc241594192"/>
      <w:r w:rsidRPr="00035387">
        <w:rPr>
          <w:rFonts w:ascii="Arial" w:hAnsi="Arial" w:cs="Arial"/>
          <w:b/>
          <w:color w:val="auto"/>
          <w:sz w:val="22"/>
          <w:szCs w:val="22"/>
        </w:rPr>
        <w:t>Conclusiones, limitaciones y recomendación final</w:t>
      </w:r>
      <w:bookmarkEnd w:id="9"/>
    </w:p>
    <w:p w14:paraId="239FCD3E" w14:textId="44918131" w:rsidR="00035387" w:rsidRDefault="00035387" w:rsidP="00035387"/>
    <w:p w14:paraId="1D15FB16" w14:textId="45B3D9C6" w:rsidR="00035387" w:rsidRPr="00035387" w:rsidRDefault="00035387" w:rsidP="00035387">
      <w:pPr>
        <w:spacing w:line="360" w:lineRule="auto"/>
        <w:jc w:val="both"/>
        <w:rPr>
          <w:rFonts w:ascii="Arial" w:hAnsi="Arial" w:cs="Arial"/>
        </w:rPr>
      </w:pPr>
      <w:r w:rsidRPr="00035387">
        <w:rPr>
          <w:rFonts w:ascii="Arial" w:hAnsi="Arial" w:cs="Arial"/>
        </w:rPr>
        <w:t xml:space="preserve">El ejercicio permitió diseñar una cobertura objetivo del 85% para un portafolio compuesto por LLY, ORCL y GD, incorporando criterios de protección, costo, liquidez y eficiencia frente al VaR99. Las estrategias evaluadas presentan diferentes intercambios entre costo y protección: la </w:t>
      </w:r>
      <w:proofErr w:type="spellStart"/>
      <w:r w:rsidRPr="00035387">
        <w:rPr>
          <w:rFonts w:ascii="Arial" w:hAnsi="Arial" w:cs="Arial"/>
          <w:i/>
        </w:rPr>
        <w:t>protective</w:t>
      </w:r>
      <w:proofErr w:type="spellEnd"/>
      <w:r w:rsidRPr="00035387">
        <w:rPr>
          <w:rFonts w:ascii="Arial" w:hAnsi="Arial" w:cs="Arial"/>
          <w:i/>
        </w:rPr>
        <w:t xml:space="preserve"> </w:t>
      </w:r>
      <w:proofErr w:type="spellStart"/>
      <w:r w:rsidRPr="00035387">
        <w:rPr>
          <w:rFonts w:ascii="Arial" w:hAnsi="Arial" w:cs="Arial"/>
          <w:i/>
        </w:rPr>
        <w:t>put</w:t>
      </w:r>
      <w:proofErr w:type="spellEnd"/>
      <w:r w:rsidRPr="00035387">
        <w:rPr>
          <w:rFonts w:ascii="Arial" w:hAnsi="Arial" w:cs="Arial"/>
        </w:rPr>
        <w:t xml:space="preserve"> conserva el potencial alcista con un mayor costo, el </w:t>
      </w:r>
      <w:r w:rsidRPr="00035387">
        <w:rPr>
          <w:rFonts w:ascii="Arial" w:hAnsi="Arial" w:cs="Arial"/>
          <w:i/>
        </w:rPr>
        <w:t>collar</w:t>
      </w:r>
      <w:r w:rsidRPr="00035387">
        <w:rPr>
          <w:rFonts w:ascii="Arial" w:hAnsi="Arial" w:cs="Arial"/>
        </w:rPr>
        <w:t xml:space="preserve"> reduce el desembolso, pero limita la valorización, y el </w:t>
      </w:r>
      <w:proofErr w:type="spellStart"/>
      <w:r w:rsidRPr="00035387">
        <w:rPr>
          <w:rFonts w:ascii="Arial" w:hAnsi="Arial" w:cs="Arial"/>
          <w:i/>
        </w:rPr>
        <w:t>bear</w:t>
      </w:r>
      <w:proofErr w:type="spellEnd"/>
      <w:r w:rsidRPr="00035387">
        <w:rPr>
          <w:rFonts w:ascii="Arial" w:hAnsi="Arial" w:cs="Arial"/>
          <w:i/>
        </w:rPr>
        <w:t xml:space="preserve"> </w:t>
      </w:r>
      <w:proofErr w:type="spellStart"/>
      <w:r w:rsidRPr="00035387">
        <w:rPr>
          <w:rFonts w:ascii="Arial" w:hAnsi="Arial" w:cs="Arial"/>
          <w:i/>
        </w:rPr>
        <w:t>put</w:t>
      </w:r>
      <w:proofErr w:type="spellEnd"/>
      <w:r w:rsidRPr="00035387">
        <w:rPr>
          <w:rFonts w:ascii="Arial" w:hAnsi="Arial" w:cs="Arial"/>
          <w:i/>
        </w:rPr>
        <w:t xml:space="preserve"> spread</w:t>
      </w:r>
      <w:r w:rsidRPr="00035387">
        <w:rPr>
          <w:rFonts w:ascii="Arial" w:hAnsi="Arial" w:cs="Arial"/>
        </w:rPr>
        <w:t xml:space="preserve"> reduce el costo de protección a cambio de limitarla ante caídas extremas. Bajo los supuestos del modelo, el </w:t>
      </w:r>
      <w:proofErr w:type="spellStart"/>
      <w:r w:rsidRPr="00035387">
        <w:rPr>
          <w:rFonts w:ascii="Arial" w:hAnsi="Arial" w:cs="Arial"/>
          <w:i/>
        </w:rPr>
        <w:t>bear</w:t>
      </w:r>
      <w:proofErr w:type="spellEnd"/>
      <w:r w:rsidRPr="00035387">
        <w:rPr>
          <w:rFonts w:ascii="Arial" w:hAnsi="Arial" w:cs="Arial"/>
          <w:i/>
        </w:rPr>
        <w:t xml:space="preserve"> </w:t>
      </w:r>
      <w:proofErr w:type="spellStart"/>
      <w:r w:rsidRPr="00035387">
        <w:rPr>
          <w:rFonts w:ascii="Arial" w:hAnsi="Arial" w:cs="Arial"/>
          <w:i/>
        </w:rPr>
        <w:t>put</w:t>
      </w:r>
      <w:proofErr w:type="spellEnd"/>
      <w:r w:rsidRPr="00035387">
        <w:rPr>
          <w:rFonts w:ascii="Arial" w:hAnsi="Arial" w:cs="Arial"/>
          <w:i/>
        </w:rPr>
        <w:t xml:space="preserve"> spread</w:t>
      </w:r>
      <w:r w:rsidRPr="00035387">
        <w:rPr>
          <w:rFonts w:ascii="Arial" w:hAnsi="Arial" w:cs="Arial"/>
        </w:rPr>
        <w:t xml:space="preserve"> presentó la mayor eficiencia en reducción del VaR99 por costo económico. Sin embargo, los resultados dependen de los supuestos de volatilidad, distribución de los rendimientos y simulación, por lo que no representan una garantía de comportamiento futuro. Adicionalmente, la cobertura inicial vence antes de completar los 24 meses del horizonte, haciendo necesaria su renovación para mantener la protección durante todo el período</w:t>
      </w:r>
    </w:p>
    <w:p w14:paraId="64341531" w14:textId="3755B547" w:rsidR="00035387" w:rsidRDefault="00035387" w:rsidP="00035387">
      <w:pPr>
        <w:spacing w:line="360" w:lineRule="auto"/>
        <w:jc w:val="both"/>
        <w:rPr>
          <w:rFonts w:ascii="Arial" w:hAnsi="Arial" w:cs="Arial"/>
          <w:b/>
        </w:rPr>
      </w:pPr>
      <w:r w:rsidRPr="00035387">
        <w:rPr>
          <w:rFonts w:ascii="Arial" w:hAnsi="Arial" w:cs="Arial"/>
          <w:b/>
        </w:rPr>
        <w:t>Recomendación final</w:t>
      </w:r>
    </w:p>
    <w:p w14:paraId="6E183EA1" w14:textId="5C68499D" w:rsidR="00A37A4A" w:rsidRDefault="00A37A4A" w:rsidP="00035387">
      <w:pPr>
        <w:spacing w:line="360" w:lineRule="auto"/>
        <w:jc w:val="both"/>
        <w:rPr>
          <w:rFonts w:ascii="Arial" w:hAnsi="Arial" w:cs="Arial"/>
        </w:rPr>
      </w:pPr>
      <w:r w:rsidRPr="00A37A4A">
        <w:rPr>
          <w:rFonts w:ascii="Arial" w:hAnsi="Arial" w:cs="Arial"/>
        </w:rPr>
        <w:t>La cartera de mínima varianza obtiene un retorno esperado de 19,33% con una volatilidad de 19,15%, utilizando la diversificación entre LLY, ORCL y GD. Sobre esta configuración se incorpora la cobertura para reducir la exposición a pérdidas extremas</w:t>
      </w:r>
      <w:r>
        <w:rPr>
          <w:rFonts w:ascii="Arial" w:hAnsi="Arial" w:cs="Arial"/>
        </w:rPr>
        <w:t>, l</w:t>
      </w:r>
      <w:r w:rsidRPr="00A37A4A">
        <w:rPr>
          <w:rFonts w:ascii="Arial" w:hAnsi="Arial" w:cs="Arial"/>
        </w:rPr>
        <w:t xml:space="preserve">a simulación muestra que el </w:t>
      </w:r>
      <w:proofErr w:type="spellStart"/>
      <w:r w:rsidRPr="00A37A4A">
        <w:rPr>
          <w:rFonts w:ascii="Arial" w:hAnsi="Arial" w:cs="Arial"/>
          <w:i/>
        </w:rPr>
        <w:t>bear</w:t>
      </w:r>
      <w:proofErr w:type="spellEnd"/>
      <w:r w:rsidRPr="00A37A4A">
        <w:rPr>
          <w:rFonts w:ascii="Arial" w:hAnsi="Arial" w:cs="Arial"/>
          <w:i/>
        </w:rPr>
        <w:t xml:space="preserve"> </w:t>
      </w:r>
      <w:proofErr w:type="spellStart"/>
      <w:r w:rsidRPr="00A37A4A">
        <w:rPr>
          <w:rFonts w:ascii="Arial" w:hAnsi="Arial" w:cs="Arial"/>
          <w:i/>
        </w:rPr>
        <w:t>put</w:t>
      </w:r>
      <w:proofErr w:type="spellEnd"/>
      <w:r w:rsidRPr="00A37A4A">
        <w:rPr>
          <w:rFonts w:ascii="Arial" w:hAnsi="Arial" w:cs="Arial"/>
          <w:i/>
        </w:rPr>
        <w:t xml:space="preserve"> spread</w:t>
      </w:r>
      <w:r w:rsidRPr="00A37A4A">
        <w:rPr>
          <w:rFonts w:ascii="Arial" w:hAnsi="Arial" w:cs="Arial"/>
        </w:rPr>
        <w:t xml:space="preserve"> presenta la mayor eficiencia de reducción del VaR99 por unidad de costo económico entre las estrategias evaluadas</w:t>
      </w:r>
      <w:r>
        <w:rPr>
          <w:rFonts w:ascii="Arial" w:hAnsi="Arial" w:cs="Arial"/>
        </w:rPr>
        <w:t>, p</w:t>
      </w:r>
      <w:r w:rsidRPr="00A37A4A">
        <w:rPr>
          <w:rFonts w:ascii="Arial" w:hAnsi="Arial" w:cs="Arial"/>
        </w:rPr>
        <w:t xml:space="preserve">or tanto, la propuesta no busca maximizar el retorno esperado, sino combinar una cartera diversificada con un mecanismo de protección que permita controlar </w:t>
      </w:r>
      <w:r w:rsidR="009D0A5D">
        <w:rPr>
          <w:rFonts w:ascii="Arial" w:hAnsi="Arial" w:cs="Arial"/>
        </w:rPr>
        <w:t>las</w:t>
      </w:r>
      <w:r w:rsidR="009D0A5D" w:rsidRPr="009D0A5D">
        <w:rPr>
          <w:rFonts w:ascii="Arial" w:hAnsi="Arial" w:cs="Arial"/>
        </w:rPr>
        <w:t xml:space="preserve"> pérdidas poco frecuentes pero de gran magnitud</w:t>
      </w:r>
      <w:r w:rsidRPr="00A37A4A">
        <w:rPr>
          <w:rFonts w:ascii="Arial" w:hAnsi="Arial" w:cs="Arial"/>
        </w:rPr>
        <w:t>, manteniendo un nivel de exposición al mercado</w:t>
      </w:r>
      <w:r w:rsidR="009D0A5D">
        <w:rPr>
          <w:rFonts w:ascii="Arial" w:hAnsi="Arial" w:cs="Arial"/>
        </w:rPr>
        <w:t>.</w:t>
      </w:r>
    </w:p>
    <w:p w14:paraId="27DCF875" w14:textId="1E8DA7A1" w:rsidR="009D0A5D" w:rsidRPr="00A37A4A" w:rsidRDefault="009D0A5D" w:rsidP="00035387">
      <w:pPr>
        <w:spacing w:line="360" w:lineRule="auto"/>
        <w:jc w:val="both"/>
        <w:rPr>
          <w:rFonts w:ascii="Arial" w:hAnsi="Arial" w:cs="Arial"/>
        </w:rPr>
      </w:pPr>
      <w:proofErr w:type="gramStart"/>
      <w:r>
        <w:rPr>
          <w:rFonts w:ascii="Arial" w:hAnsi="Arial" w:cs="Arial"/>
        </w:rPr>
        <w:t>Finalmente</w:t>
      </w:r>
      <w:proofErr w:type="gramEnd"/>
      <w:r>
        <w:rPr>
          <w:rFonts w:ascii="Arial" w:hAnsi="Arial" w:cs="Arial"/>
        </w:rPr>
        <w:t xml:space="preserve"> n</w:t>
      </w:r>
      <w:r w:rsidRPr="009D0A5D">
        <w:rPr>
          <w:rFonts w:ascii="Arial" w:hAnsi="Arial" w:cs="Arial"/>
        </w:rPr>
        <w:t xml:space="preserve">uestro análisis permite concluir que la </w:t>
      </w:r>
      <w:r>
        <w:rPr>
          <w:rFonts w:ascii="Arial" w:hAnsi="Arial" w:cs="Arial"/>
        </w:rPr>
        <w:t>cartera</w:t>
      </w:r>
      <w:r w:rsidRPr="009D0A5D">
        <w:rPr>
          <w:rFonts w:ascii="Arial" w:hAnsi="Arial" w:cs="Arial"/>
        </w:rPr>
        <w:t xml:space="preserve"> es viable bajo los supuestos establecidos, porque logramos construir el portafolio, cuantificar su relación riesgo-retorno, diseñar una cobertura cercana al 85%, valorar las opciones, simular escenarios y medir la reducción del riesgo</w:t>
      </w:r>
      <w:r>
        <w:rPr>
          <w:rFonts w:ascii="Arial" w:hAnsi="Arial" w:cs="Arial"/>
        </w:rPr>
        <w:t>, p</w:t>
      </w:r>
      <w:r w:rsidRPr="009D0A5D">
        <w:rPr>
          <w:rFonts w:ascii="Arial" w:hAnsi="Arial" w:cs="Arial"/>
        </w:rPr>
        <w:t>ero no afirmamos que el portafolio vaya a generar necesariamente ese retorno en los próximos dos años</w:t>
      </w:r>
      <w:r>
        <w:rPr>
          <w:rFonts w:ascii="Arial" w:hAnsi="Arial" w:cs="Arial"/>
        </w:rPr>
        <w:t xml:space="preserve"> e</w:t>
      </w:r>
      <w:r w:rsidRPr="009D0A5D">
        <w:rPr>
          <w:rFonts w:ascii="Arial" w:hAnsi="Arial" w:cs="Arial"/>
        </w:rPr>
        <w:t>l 19,33 % es un retorno esperado obtenido bajo el modelo, no un rendimiento garantizado</w:t>
      </w:r>
    </w:p>
    <w:sectPr w:rsidR="009D0A5D" w:rsidRPr="00A37A4A" w:rsidSect="009D0A5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D13"/>
    <w:rsid w:val="00035387"/>
    <w:rsid w:val="000753B7"/>
    <w:rsid w:val="00234F89"/>
    <w:rsid w:val="002C6901"/>
    <w:rsid w:val="007979ED"/>
    <w:rsid w:val="00900006"/>
    <w:rsid w:val="00946229"/>
    <w:rsid w:val="00947D8A"/>
    <w:rsid w:val="00961C4D"/>
    <w:rsid w:val="009C5D01"/>
    <w:rsid w:val="009D0A5D"/>
    <w:rsid w:val="009F2592"/>
    <w:rsid w:val="00A24D13"/>
    <w:rsid w:val="00A37A4A"/>
    <w:rsid w:val="00A621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838E1"/>
  <w15:chartTrackingRefBased/>
  <w15:docId w15:val="{8BAA54B1-A0BF-4E06-ABE9-D699F491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4D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4D13"/>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A24D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4D13"/>
    <w:rPr>
      <w:rFonts w:asciiTheme="majorHAnsi" w:eastAsiaTheme="majorEastAsia" w:hAnsiTheme="majorHAnsi" w:cstheme="majorBidi"/>
      <w:spacing w:val="-10"/>
      <w:kern w:val="28"/>
      <w:sz w:val="56"/>
      <w:szCs w:val="56"/>
    </w:rPr>
  </w:style>
  <w:style w:type="character" w:styleId="Textodelmarcadordeposicin">
    <w:name w:val="Placeholder Text"/>
    <w:basedOn w:val="Fuentedeprrafopredeter"/>
    <w:uiPriority w:val="99"/>
    <w:semiHidden/>
    <w:rsid w:val="00234F89"/>
    <w:rPr>
      <w:color w:val="808080"/>
    </w:rPr>
  </w:style>
  <w:style w:type="character" w:styleId="Textoennegrita">
    <w:name w:val="Strong"/>
    <w:basedOn w:val="Fuentedeprrafopredeter"/>
    <w:uiPriority w:val="22"/>
    <w:qFormat/>
    <w:rsid w:val="009F2592"/>
    <w:rPr>
      <w:b/>
      <w:bCs/>
    </w:rPr>
  </w:style>
  <w:style w:type="character" w:customStyle="1" w:styleId="katex">
    <w:name w:val="katex"/>
    <w:basedOn w:val="Fuentedeprrafopredeter"/>
    <w:rsid w:val="00961C4D"/>
  </w:style>
  <w:style w:type="paragraph" w:styleId="TtuloTDC">
    <w:name w:val="TOC Heading"/>
    <w:basedOn w:val="Ttulo1"/>
    <w:next w:val="Normal"/>
    <w:uiPriority w:val="39"/>
    <w:unhideWhenUsed/>
    <w:qFormat/>
    <w:rsid w:val="009D0A5D"/>
    <w:pPr>
      <w:outlineLvl w:val="9"/>
    </w:pPr>
    <w:rPr>
      <w:lang w:eastAsia="es-CO"/>
    </w:rPr>
  </w:style>
  <w:style w:type="paragraph" w:styleId="TDC1">
    <w:name w:val="toc 1"/>
    <w:basedOn w:val="Normal"/>
    <w:next w:val="Normal"/>
    <w:autoRedefine/>
    <w:uiPriority w:val="39"/>
    <w:unhideWhenUsed/>
    <w:rsid w:val="009D0A5D"/>
    <w:pPr>
      <w:spacing w:after="100"/>
    </w:pPr>
  </w:style>
  <w:style w:type="character" w:styleId="Hipervnculo">
    <w:name w:val="Hyperlink"/>
    <w:basedOn w:val="Fuentedeprrafopredeter"/>
    <w:uiPriority w:val="99"/>
    <w:unhideWhenUsed/>
    <w:rsid w:val="009D0A5D"/>
    <w:rPr>
      <w:color w:val="0563C1" w:themeColor="hyperlink"/>
      <w:u w:val="single"/>
    </w:rPr>
  </w:style>
  <w:style w:type="paragraph" w:styleId="Sinespaciado">
    <w:name w:val="No Spacing"/>
    <w:link w:val="SinespaciadoCar"/>
    <w:uiPriority w:val="1"/>
    <w:qFormat/>
    <w:rsid w:val="009D0A5D"/>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9D0A5D"/>
    <w:rPr>
      <w:rFonts w:eastAsiaTheme="minorEastAsia"/>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401589">
      <w:bodyDiv w:val="1"/>
      <w:marLeft w:val="0"/>
      <w:marRight w:val="0"/>
      <w:marTop w:val="0"/>
      <w:marBottom w:val="0"/>
      <w:divBdr>
        <w:top w:val="none" w:sz="0" w:space="0" w:color="auto"/>
        <w:left w:val="none" w:sz="0" w:space="0" w:color="auto"/>
        <w:bottom w:val="none" w:sz="0" w:space="0" w:color="auto"/>
        <w:right w:val="none" w:sz="0" w:space="0" w:color="auto"/>
      </w:divBdr>
    </w:div>
    <w:div w:id="383018791">
      <w:bodyDiv w:val="1"/>
      <w:marLeft w:val="0"/>
      <w:marRight w:val="0"/>
      <w:marTop w:val="0"/>
      <w:marBottom w:val="0"/>
      <w:divBdr>
        <w:top w:val="none" w:sz="0" w:space="0" w:color="auto"/>
        <w:left w:val="none" w:sz="0" w:space="0" w:color="auto"/>
        <w:bottom w:val="none" w:sz="0" w:space="0" w:color="auto"/>
        <w:right w:val="none" w:sz="0" w:space="0" w:color="auto"/>
      </w:divBdr>
    </w:div>
    <w:div w:id="768356462">
      <w:bodyDiv w:val="1"/>
      <w:marLeft w:val="0"/>
      <w:marRight w:val="0"/>
      <w:marTop w:val="0"/>
      <w:marBottom w:val="0"/>
      <w:divBdr>
        <w:top w:val="none" w:sz="0" w:space="0" w:color="auto"/>
        <w:left w:val="none" w:sz="0" w:space="0" w:color="auto"/>
        <w:bottom w:val="none" w:sz="0" w:space="0" w:color="auto"/>
        <w:right w:val="none" w:sz="0" w:space="0" w:color="auto"/>
      </w:divBdr>
    </w:div>
    <w:div w:id="210864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462A88F6-2D9D-4977-8A76-03DFB8FB3DE1}"/>
      </w:docPartPr>
      <w:docPartBody>
        <w:p w:rsidR="00000000" w:rsidRDefault="00931BF3">
          <w:r w:rsidRPr="00876D1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F3"/>
    <w:rsid w:val="00931B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31BF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3EC65C-63EE-48DA-892B-19F2C8C9AD12}">
  <we:reference id="wa104382081" version="1.55.1.0" store="en-US" storeType="OMEX"/>
  <we:alternateReferences>
    <we:reference id="wa104382081" version="1.55.1.0" store="" storeType="OMEX"/>
  </we:alternateReferences>
  <we:properties>
    <we:property name="MENDELEY_CITATIONS_STYLE" value="{&quot;id&quot;:&quot;https://www.zotero.org/styles/apa&quot;,&quot;title&quot;:&quot;APA Style 7th edition&quot;,&quot;format&quot;:&quot;author-date&quot;,&quot;defaultLocale&quot;:null,&quot;isLocaleCodeValid&quot;:true}"/>
    <we:property name="MENDELEY_CITATIONS" value="[{&quot;citationID&quot;:&quot;MENDELEY_CITATION_d3bd37c7-18e0-43b2-bad5-675693148d8c&quot;,&quot;properties&quot;:{&quot;noteIndex&quot;:0},&quot;isEdited&quot;:false,&quot;manualOverride&quot;:{&quot;isManuallyOverridden&quot;:false,&quot;citeprocText&quot;:&quot;(Yahoo Finance, 2026)&quot;,&quot;manualOverrideText&quot;:&quot;&quot;},&quot;citationTag&quot;:&quot;MENDELEY_CITATION_v3_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&quot;,&quot;citationItems&quot;:[{&quot;id&quot;:&quot;2bb335da-58c0-359a-a340-19779038d571&quot;,&quot;itemData&quot;:{&quot;type&quot;:&quot;webpage&quot;,&quot;id&quot;:&quot;2bb335da-58c0-359a-a340-19779038d571&quot;,&quot;title&quot;:&quot;Yahoo Finance&quot;,&quot;author&quot;:[{&quot;family&quot;:&quot;Yahoo Finance&quot;,&quot;given&quot;:&quot;&quot;,&quot;parse-names&quot;:false,&quot;dropping-particle&quot;:&quot;&quot;,&quot;non-dropping-particle&quot;:&quot;&quot;}],&quot;accessed&quot;:{&quot;date-parts&quot;:[[2026,9,26]]},&quot;URL&quot;:&quot;https://finance.yahoo.com/&quot;,&quot;issued&quot;:{&quot;date-parts&quot;:[[2026]]},&quot;container-title-short&quot;:&quot;&quot;},&quot;isTemporary&quot;:false,&quot;suppress-author&quot;:false,&quot;composite&quot;:false,&quot;author-only&quot;:false}]},{&quot;citationID&quot;:&quot;MENDELEY_CITATION_c997f559-c96c-43f4-a5cf-2dd4c655160a&quot;,&quot;properties&quot;:{&quot;noteIndex&quot;:0},&quot;isEdited&quot;:false,&quot;manualOverride&quot;:{&quot;isManuallyOverridden&quot;:true,&quot;citeprocText&quot;:&quot;(Federal Reserve Bank of St. Louis, 2026)&quot;,&quot;manualOverrideText&quot;:&quot;(FRED, 2026)&quot;},&quot;citationItems&quot;:[{&quot;id&quot;:&quot;79d85bd6-bb9d-3ce9-9201-cb6b6c77cf05&quot;,&quot;itemData&quot;:{&quot;type&quot;:&quot;webpage&quot;,&quot;id&quot;:&quot;79d85bd6-bb9d-3ce9-9201-cb6b6c77cf05&quot;,&quot;title&quot;:&quot;FRED: Federal Reserve Economic Data&quot;,&quot;author&quot;:[{&quot;family&quot;:&quot;Federal Reserve Bank of St. Louis&quot;,&quot;given&quot;:&quot;&quot;,&quot;parse-names&quot;:false,&quot;dropping-particle&quot;:&quot;&quot;,&quot;non-dropping-particle&quot;:&quot;&quot;}],&quot;accessed&quot;:{&quot;date-parts&quot;:[[2026,9,26]]},&quot;URL&quot;:&quot;https://fred.stlouisfed.org/&quot;,&quot;issued&quot;:{&quot;date-parts&quot;:[[2026]]},&quot;container-title-short&quot;:&quot;&quot;},&quot;isTemporary&quot;:false,&quot;suppress-author&quot;:false,&quot;composite&quot;:false,&quot;author-only&quot;:false}],&quot;citationTag&quot;:&quot;MENDELEY_CITATION_v3_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Diseño y evaluación de un portafolio de inversión de tres activos mediante optimización media-varianza y estrategias de cobertura con opciones.
Análisis de riesgo, valoración, simulación y eficiencia de las coberturas para un horizonte de inversión de dos años.</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B90674D8FB16342ADAE5FD2FEA45EFA" ma:contentTypeVersion="17" ma:contentTypeDescription="Crear nuevo documento." ma:contentTypeScope="" ma:versionID="e94d719363a75a7069b7dadc39f09f30">
  <xsd:schema xmlns:xsd="http://www.w3.org/2001/XMLSchema" xmlns:xs="http://www.w3.org/2001/XMLSchema" xmlns:p="http://schemas.microsoft.com/office/2006/metadata/properties" xmlns:ns3="3dd290e0-9f81-49ae-bc64-ff7b15fd3b53" xmlns:ns4="7c6fcce2-6bd9-47ed-a262-2036ba438394" targetNamespace="http://schemas.microsoft.com/office/2006/metadata/properties" ma:root="true" ma:fieldsID="5be251243f5218f4e00f488e4423d5d1" ns3:_="" ns4:_="">
    <xsd:import namespace="3dd290e0-9f81-49ae-bc64-ff7b15fd3b53"/>
    <xsd:import namespace="7c6fcce2-6bd9-47ed-a262-2036ba43839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d290e0-9f81-49ae-bc64-ff7b15fd3b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6fcce2-6bd9-47ed-a262-2036ba438394"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dd290e0-9f81-49ae-bc64-ff7b15fd3b5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09FD9A-39C8-47E0-9043-56A9734A9B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d290e0-9f81-49ae-bc64-ff7b15fd3b53"/>
    <ds:schemaRef ds:uri="7c6fcce2-6bd9-47ed-a262-2036ba4383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C7B19F-7290-421D-AC23-318F3CD5457C}">
  <ds:schemaRefs>
    <ds:schemaRef ds:uri="http://schemas.microsoft.com/sharepoint/v3/contenttype/forms"/>
  </ds:schemaRefs>
</ds:datastoreItem>
</file>

<file path=customXml/itemProps4.xml><?xml version="1.0" encoding="utf-8"?>
<ds:datastoreItem xmlns:ds="http://schemas.openxmlformats.org/officeDocument/2006/customXml" ds:itemID="{01D3D888-55D0-4A1C-8348-784666CE6436}">
  <ds:schemaRefs>
    <ds:schemaRef ds:uri="http://purl.org/dc/dcmitype/"/>
    <ds:schemaRef ds:uri="http://schemas.microsoft.com/office/2006/documentManagement/types"/>
    <ds:schemaRef ds:uri="http://purl.org/dc/terms/"/>
    <ds:schemaRef ds:uri="http://purl.org/dc/elements/1.1/"/>
    <ds:schemaRef ds:uri="http://www.w3.org/XML/1998/namespace"/>
    <ds:schemaRef ds:uri="http://schemas.microsoft.com/office/infopath/2007/PartnerControls"/>
    <ds:schemaRef ds:uri="3dd290e0-9f81-49ae-bc64-ff7b15fd3b53"/>
    <ds:schemaRef ds:uri="http://schemas.openxmlformats.org/package/2006/metadata/core-properties"/>
    <ds:schemaRef ds:uri="7c6fcce2-6bd9-47ed-a262-2036ba438394"/>
    <ds:schemaRef ds:uri="http://schemas.microsoft.com/office/2006/metadata/properties"/>
  </ds:schemaRefs>
</ds:datastoreItem>
</file>

<file path=customXml/itemProps5.xml><?xml version="1.0" encoding="utf-8"?>
<ds:datastoreItem xmlns:ds="http://schemas.openxmlformats.org/officeDocument/2006/customXml" ds:itemID="{A917458B-048C-4328-B77A-F328FFE06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8</Pages>
  <Words>2076</Words>
  <Characters>11418</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 LABORATORIO DE DERIVADOS FINANCIEROS</dc:title>
  <dc:subject/>
  <dc:creator>John Ferney Zapata Jova</dc:creator>
  <cp:keywords/>
  <dc:description/>
  <cp:lastModifiedBy>JOHN FERNEY ZAPATA LOPEZ</cp:lastModifiedBy>
  <cp:revision>2</cp:revision>
  <dcterms:created xsi:type="dcterms:W3CDTF">2026-09-29T19:31:00Z</dcterms:created>
  <dcterms:modified xsi:type="dcterms:W3CDTF">2026-09-29T22:16:00Z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0x010100CB90674D8FB16342ADAE5FD2FEA45EFA</vt:lpwstr>
  </property>
</Properties>
</file>