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INFORME DE PREPARACIÓN Y UNIÓN DE DATOS</w:t>
      </w:r>
    </w:p>
    <w:p>
      <w:pPr>
        <w:jc w:val="center"/>
      </w:pPr>
      <w:r>
        <w:rPr>
          <w:i/>
          <w:sz w:val="32"/>
        </w:rPr>
        <w:t>Análisis del éxito en la industria de los videojuegos</w:t>
      </w:r>
    </w:p>
    <w:p>
      <w:pPr>
        <w:jc w:val="center"/>
      </w:pPr>
      <w:r>
        <w:rPr>
          <w:sz w:val="28"/>
        </w:rPr>
        <w:br/>
        <w:t>Metodología CRISP-DM</w:t>
        <w:br/>
        <w:br/>
      </w:r>
      <w:r>
        <w:rPr>
          <w:sz w:val="22"/>
        </w:rPr>
        <w:t>Limpieza, estandarización, unión y validación de datasets</w:t>
      </w:r>
    </w:p>
    <w:p/>
    <w:p/>
    <w:p/>
    <w:p/>
    <w:p/>
    <w:p>
      <w:pPr>
        <w:jc w:val="center"/>
      </w:pPr>
      <w:r>
        <w:rPr>
          <w:b/>
        </w:rPr>
        <w:t>Proyecto de minería de datos</w:t>
        <w:br/>
      </w:r>
      <w:r>
        <w:t>Fecha de elaboración: 14 de septiembre de 2026</w:t>
      </w:r>
    </w:p>
    <w:p>
      <w:r>
        <w:br w:type="page"/>
      </w:r>
    </w:p>
    <w:p>
      <w:pPr>
        <w:pStyle w:val="Heading1"/>
      </w:pPr>
      <w:r>
        <w:t>Resumen ejecutivo</w:t>
      </w:r>
    </w:p>
    <w:p>
      <w:r>
        <w:t>Este informe documenta de forma reproducible la preparación y combinación de dos fuentes de datos sobre videojuegos: Cleaned Data 1.csv, que contiene información de ventas y calificaciones, y vgsales.csv, que contiene ventas por región, plataforma y posición de ranking. El objetivo es obtener una tabla integrada para estudiar qué factores se relacionan con el éxito comercial y la recepción crítica o de los usuarios.</w:t>
      </w:r>
    </w:p>
    <w:p>
      <w:r>
        <w:t>El proceso se implementó con pandas y se organizó siguiendo CRISP-DM. Primero se identificó la estructura de cada fuente; después se estandarizaron nombres, textos, tipos y valores faltantes; finalmente se unieron los datos mediante una combinación left usando name, year y genre como claves. El resultado fue vgsales_merged.csv, con 16.598 filas: 7.788 tuvieron una coincidencia de calificaciones y 8.810 no encontraron una coincidencia exacta.</w:t>
      </w:r>
    </w:p>
    <w:p>
      <w:r>
        <w:t>La decisión de conservar también las filas sin coincidencia evita perder información de ventas. Esas filas mantienen sus datos originales y presentan valores vacíos únicamente en las variables de calificación que no pudieron asociarse.</w:t>
      </w:r>
    </w:p>
    <w:p>
      <w:pPr>
        <w:pStyle w:val="Heading1"/>
      </w:pPr>
      <w:r>
        <w:t>1. Objetivo y alcance</w:t>
      </w:r>
    </w:p>
    <w:p>
      <w:r>
        <w:t>El proyecto busca analizar los factores que pueden explicar el éxito de un videojuego. En este contexto, el éxito se estudia desde dos perspectivas complementarias: el rendimiento económico, representado principalmente por global_sales, y la recepción del producto, representada por critic_score, user_score y sus respectivos conteos de evaluaciones.</w:t>
      </w:r>
    </w:p>
    <w:p>
      <w:pPr>
        <w:pStyle w:val="ListBullet"/>
      </w:pPr>
      <w:r>
        <w:t>Preparar dos archivos CSV con estructuras distintas pero relacionadas.</w:t>
      </w:r>
    </w:p>
    <w:p>
      <w:pPr>
        <w:pStyle w:val="ListBullet"/>
      </w:pPr>
      <w:r>
        <w:t>Reducir inconsistencias de formato sin inventar valores faltantes.</w:t>
      </w:r>
    </w:p>
    <w:p>
      <w:pPr>
        <w:pStyle w:val="ListBullet"/>
      </w:pPr>
      <w:r>
        <w:t>Construir un dataset integrado que permita análisis descriptivo y modelos posteriores.</w:t>
      </w:r>
    </w:p>
    <w:p>
      <w:pPr>
        <w:pStyle w:val="ListBullet"/>
      </w:pPr>
      <w:r>
        <w:t>Mantener trazabilidad: cada transformación queda explicada y puede repetirse ejecutando los scripts.</w:t>
      </w:r>
    </w:p>
    <w:p>
      <w:r>
        <w:t>El alcance de este documento llega hasta la preparación, unión y validación descriptiva. No incluye todavía un modelo predictivo, clustering, visualización final ni despliegue en Power BI o Streamlit.</w:t>
      </w:r>
    </w:p>
    <w:p>
      <w:pPr>
        <w:pStyle w:val="Heading1"/>
      </w:pPr>
      <w:r>
        <w:t>2. CRISP-DM aplicado al proyecto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304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Fase CRISP-DM</w:t>
            </w:r>
          </w:p>
        </w:tc>
        <w:tc>
          <w:tcPr>
            <w:tcW w:type="dxa" w:w="8208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Aplicación en este proyecto</w:t>
            </w:r>
          </w:p>
        </w:tc>
      </w:tr>
      <w:tr>
        <w:tc>
          <w:tcPr>
            <w:tcW w:type="dxa" w:w="2304"/>
            <w:vAlign w:val="center"/>
            <w:shd w:fill="EAF2F8"/>
          </w:tcPr>
          <w:p>
            <w:r/>
            <w:r>
              <w:rPr>
                <w:b w:val="0"/>
              </w:rPr>
              <w:t>1. Entendimiento del negocio</w:t>
            </w:r>
          </w:p>
        </w:tc>
        <w:tc>
          <w:tcPr>
            <w:tcW w:type="dxa" w:w="8208"/>
            <w:vAlign w:val="center"/>
            <w:shd w:fill="EAF2F8"/>
          </w:tcPr>
          <w:p>
            <w:r/>
            <w:r>
              <w:rPr>
                <w:b w:val="0"/>
              </w:rPr>
              <w:t>Definir éxito mediante ventas globales y recepción crítica o de usuarios.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</w:rPr>
              <w:t>2. Entendimiento de los datos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b w:val="0"/>
              </w:rPr>
              <w:t>Revisar columnas, tipos, valores faltantes, duplicados y escalas de los dos CSV.</w:t>
            </w:r>
          </w:p>
        </w:tc>
      </w:tr>
      <w:tr>
        <w:tc>
          <w:tcPr>
            <w:tcW w:type="dxa" w:w="2304"/>
            <w:vAlign w:val="center"/>
            <w:shd w:fill="EAF2F8"/>
          </w:tcPr>
          <w:p>
            <w:r/>
            <w:r>
              <w:rPr>
                <w:b w:val="0"/>
              </w:rPr>
              <w:t>3. Preparación de los datos</w:t>
            </w:r>
          </w:p>
        </w:tc>
        <w:tc>
          <w:tcPr>
            <w:tcW w:type="dxa" w:w="8208"/>
            <w:vAlign w:val="center"/>
            <w:shd w:fill="EAF2F8"/>
          </w:tcPr>
          <w:p>
            <w:r/>
            <w:r>
              <w:rPr>
                <w:b w:val="0"/>
              </w:rPr>
              <w:t>Normalizar nombres, limpiar textos, convertir tipos, tratar faltantes y eliminar duplicados exactos.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</w:rPr>
              <w:t>4. Modelado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b w:val="0"/>
              </w:rPr>
              <w:t>Fase posterior: clasificación de éxito y clustering de perfiles de videojuegos.</w:t>
            </w:r>
          </w:p>
        </w:tc>
      </w:tr>
      <w:tr>
        <w:tc>
          <w:tcPr>
            <w:tcW w:type="dxa" w:w="2304"/>
            <w:vAlign w:val="center"/>
            <w:shd w:fill="EAF2F8"/>
          </w:tcPr>
          <w:p>
            <w:r/>
            <w:r>
              <w:rPr>
                <w:b w:val="0"/>
              </w:rPr>
              <w:t>5. Evaluación</w:t>
            </w:r>
          </w:p>
        </w:tc>
        <w:tc>
          <w:tcPr>
            <w:tcW w:type="dxa" w:w="8208"/>
            <w:vAlign w:val="center"/>
            <w:shd w:fill="EAF2F8"/>
          </w:tcPr>
          <w:p>
            <w:r/>
            <w:r>
              <w:rPr>
                <w:b w:val="0"/>
              </w:rPr>
              <w:t>Comprobar coincidencias, filas no emparejadas, cuartiles y calidad de los datos preparados.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</w:rPr>
              <w:t>6. Despliegue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b w:val="0"/>
              </w:rPr>
              <w:t>Fase posterior: comunicar resultados mediante informes, Power BI o Streamlit.</w:t>
            </w:r>
          </w:p>
        </w:tc>
      </w:tr>
    </w:tbl>
    <w:p/>
    <w:p>
      <w:pPr>
        <w:pStyle w:val="Heading1"/>
      </w:pPr>
      <w:r>
        <w:t>3. Entendimiento de las fuentes</w:t>
      </w:r>
    </w:p>
    <w:p>
      <w:pPr>
        <w:pStyle w:val="Heading2"/>
      </w:pPr>
      <w:r>
        <w:t>3.1 Cleaned Data 1.csv</w:t>
      </w:r>
    </w:p>
    <w:p>
      <w:r>
        <w:t>Esta fuente contiene 15 columnas y 6.894 filas después de su limpieza. Aporta variables de ventas, calificaciones de crítica y usuarios, desarrollador y clasificación por edades.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160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Grupo</w:t>
            </w:r>
          </w:p>
        </w:tc>
        <w:tc>
          <w:tcPr>
            <w:tcW w:type="dxa" w:w="4320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Columnas</w:t>
            </w:r>
          </w:p>
        </w:tc>
        <w:tc>
          <w:tcPr>
            <w:tcW w:type="dxa" w:w="4032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Uso analítico</w:t>
            </w:r>
          </w:p>
        </w:tc>
      </w:tr>
      <w:tr>
        <w:tc>
          <w:tcPr>
            <w:tcW w:type="dxa" w:w="2160"/>
            <w:vAlign w:val="center"/>
            <w:shd w:fill="EAF2F8"/>
          </w:tcPr>
          <w:p>
            <w:r/>
            <w:r>
              <w:rPr>
                <w:b w:val="0"/>
              </w:rPr>
              <w:t>Identificación</w:t>
            </w:r>
          </w:p>
        </w:tc>
        <w:tc>
          <w:tcPr>
            <w:tcW w:type="dxa" w:w="4320"/>
            <w:vAlign w:val="center"/>
            <w:shd w:fill="EAF2F8"/>
          </w:tcPr>
          <w:p>
            <w:r/>
            <w:r>
              <w:rPr>
                <w:b w:val="0"/>
              </w:rPr>
              <w:t>name</w:t>
            </w:r>
          </w:p>
        </w:tc>
        <w:tc>
          <w:tcPr>
            <w:tcW w:type="dxa" w:w="4032"/>
            <w:vAlign w:val="center"/>
            <w:shd w:fill="EAF2F8"/>
          </w:tcPr>
          <w:p>
            <w:r/>
            <w:r>
              <w:rPr>
                <w:b w:val="0"/>
              </w:rPr>
              <w:t>Nombre del videojuego y clave principal de comparación.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</w:rPr>
              <w:t>Tiempo y clasificación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</w:rPr>
              <w:t>year_of_release, genre, publisher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</w:rPr>
              <w:t>Contexto temporal, categoría y editorial.</w:t>
            </w:r>
          </w:p>
        </w:tc>
      </w:tr>
      <w:tr>
        <w:tc>
          <w:tcPr>
            <w:tcW w:type="dxa" w:w="2160"/>
            <w:vAlign w:val="center"/>
            <w:shd w:fill="EAF2F8"/>
          </w:tcPr>
          <w:p>
            <w:r/>
            <w:r>
              <w:rPr>
                <w:b w:val="0"/>
              </w:rPr>
              <w:t>Ventas</w:t>
            </w:r>
          </w:p>
        </w:tc>
        <w:tc>
          <w:tcPr>
            <w:tcW w:type="dxa" w:w="4320"/>
            <w:vAlign w:val="center"/>
            <w:shd w:fill="EAF2F8"/>
          </w:tcPr>
          <w:p>
            <w:r/>
            <w:r>
              <w:rPr>
                <w:b w:val="0"/>
              </w:rPr>
              <w:t>na_sales, eu_sales, jp_sales, other_sales, global_sales</w:t>
            </w:r>
          </w:p>
        </w:tc>
        <w:tc>
          <w:tcPr>
            <w:tcW w:type="dxa" w:w="4032"/>
            <w:vAlign w:val="center"/>
            <w:shd w:fill="EAF2F8"/>
          </w:tcPr>
          <w:p>
            <w:r/>
            <w:r>
              <w:rPr>
                <w:b w:val="0"/>
              </w:rPr>
              <w:t>Medición del rendimiento comercial por región y total.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</w:rPr>
              <w:t>Crítica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</w:rPr>
              <w:t>critic_score, critic_count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</w:rPr>
              <w:t>Puntuación y cantidad de reseñas profesionales.</w:t>
            </w:r>
          </w:p>
        </w:tc>
      </w:tr>
      <w:tr>
        <w:tc>
          <w:tcPr>
            <w:tcW w:type="dxa" w:w="2160"/>
            <w:vAlign w:val="center"/>
            <w:shd w:fill="EAF2F8"/>
          </w:tcPr>
          <w:p>
            <w:r/>
            <w:r>
              <w:rPr>
                <w:b w:val="0"/>
              </w:rPr>
              <w:t>Usuarios</w:t>
            </w:r>
          </w:p>
        </w:tc>
        <w:tc>
          <w:tcPr>
            <w:tcW w:type="dxa" w:w="4320"/>
            <w:vAlign w:val="center"/>
            <w:shd w:fill="EAF2F8"/>
          </w:tcPr>
          <w:p>
            <w:r/>
            <w:r>
              <w:rPr>
                <w:b w:val="0"/>
              </w:rPr>
              <w:t>user_score, user_count</w:t>
            </w:r>
          </w:p>
        </w:tc>
        <w:tc>
          <w:tcPr>
            <w:tcW w:type="dxa" w:w="4032"/>
            <w:vAlign w:val="center"/>
            <w:shd w:fill="EAF2F8"/>
          </w:tcPr>
          <w:p>
            <w:r/>
            <w:r>
              <w:rPr>
                <w:b w:val="0"/>
              </w:rPr>
              <w:t>Puntuación y cantidad de valoraciones de usuarios.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</w:rPr>
              <w:t>Créditos y clasificación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</w:rPr>
              <w:t>developer, rating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</w:rPr>
              <w:t>Información del desarrollador y clasificación por edades.</w:t>
            </w:r>
          </w:p>
        </w:tc>
      </w:tr>
    </w:tbl>
    <w:p/>
    <w:p>
      <w:pPr>
        <w:pStyle w:val="Heading2"/>
      </w:pPr>
      <w:r>
        <w:t>3.2 vgsales.csv</w:t>
      </w:r>
    </w:p>
    <w:p>
      <w:r>
        <w:t>Esta fuente contiene 16.598 filas y 11 columnas. Aporta la plataforma, el ranking y las ventas regionales y globales. Es la tabla base de la unión porque conserva el detalle de cada registro de plataforma.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160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Grupo</w:t>
            </w:r>
          </w:p>
        </w:tc>
        <w:tc>
          <w:tcPr>
            <w:tcW w:type="dxa" w:w="4320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Columnas</w:t>
            </w:r>
          </w:p>
        </w:tc>
        <w:tc>
          <w:tcPr>
            <w:tcW w:type="dxa" w:w="4032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Uso analítico</w:t>
            </w:r>
          </w:p>
        </w:tc>
      </w:tr>
      <w:tr>
        <w:tc>
          <w:tcPr>
            <w:tcW w:type="dxa" w:w="2160"/>
            <w:vAlign w:val="center"/>
            <w:shd w:fill="EAF2F8"/>
          </w:tcPr>
          <w:p>
            <w:r/>
            <w:r>
              <w:rPr>
                <w:b w:val="0"/>
              </w:rPr>
              <w:t>Ranking e identificación</w:t>
            </w:r>
          </w:p>
        </w:tc>
        <w:tc>
          <w:tcPr>
            <w:tcW w:type="dxa" w:w="4320"/>
            <w:vAlign w:val="center"/>
            <w:shd w:fill="EAF2F8"/>
          </w:tcPr>
          <w:p>
            <w:r/>
            <w:r>
              <w:rPr>
                <w:b w:val="0"/>
              </w:rPr>
              <w:t>rank, name, platform</w:t>
            </w:r>
          </w:p>
        </w:tc>
        <w:tc>
          <w:tcPr>
            <w:tcW w:type="dxa" w:w="4032"/>
            <w:vAlign w:val="center"/>
            <w:shd w:fill="EAF2F8"/>
          </w:tcPr>
          <w:p>
            <w:r/>
            <w:r>
              <w:rPr>
                <w:b w:val="0"/>
              </w:rPr>
              <w:t>Posición, título y plataforma del videojuego.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</w:rPr>
              <w:t>Clasificación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</w:rPr>
              <w:t>year, genre, publisher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</w:rPr>
              <w:t>Año, género y editorial.</w:t>
            </w:r>
          </w:p>
        </w:tc>
      </w:tr>
      <w:tr>
        <w:tc>
          <w:tcPr>
            <w:tcW w:type="dxa" w:w="2160"/>
            <w:vAlign w:val="center"/>
            <w:shd w:fill="EAF2F8"/>
          </w:tcPr>
          <w:p>
            <w:r/>
            <w:r>
              <w:rPr>
                <w:b w:val="0"/>
              </w:rPr>
              <w:t>Ventas</w:t>
            </w:r>
          </w:p>
        </w:tc>
        <w:tc>
          <w:tcPr>
            <w:tcW w:type="dxa" w:w="4320"/>
            <w:vAlign w:val="center"/>
            <w:shd w:fill="EAF2F8"/>
          </w:tcPr>
          <w:p>
            <w:r/>
            <w:r>
              <w:rPr>
                <w:b w:val="0"/>
              </w:rPr>
              <w:t>na_sales, eu_sales, jp_sales, other_sales, global_sales</w:t>
            </w:r>
          </w:p>
        </w:tc>
        <w:tc>
          <w:tcPr>
            <w:tcW w:type="dxa" w:w="4032"/>
            <w:vAlign w:val="center"/>
            <w:shd w:fill="EAF2F8"/>
          </w:tcPr>
          <w:p>
            <w:r/>
            <w:r>
              <w:rPr>
                <w:b w:val="0"/>
              </w:rPr>
              <w:t>Ventas regionales y globales en millones.</w:t>
            </w:r>
          </w:p>
        </w:tc>
      </w:tr>
    </w:tbl>
    <w:p/>
    <w:p>
      <w:pPr>
        <w:pStyle w:val="Heading1"/>
      </w:pPr>
      <w:r>
        <w:t>4. Limpieza de Cleaned Data 1.csv</w:t>
      </w:r>
    </w:p>
    <w:p>
      <w:r>
        <w:t>La limpieza se ejecuta en Clean1.py. El flujo se diseñó para que las operaciones sean reproducibles y para que el mismo tratamiento pueda reutilizarse con otro archivo compatible.</w:t>
      </w:r>
    </w:p>
    <w:p>
      <w:pPr>
        <w:pStyle w:val="Heading2"/>
      </w:pPr>
      <w:r>
        <w:t>4.1 Lectura y normalización de valores faltantes</w:t>
      </w:r>
    </w:p>
    <w:p>
      <w:pPr>
        <w:pStyle w:val="NoSpacing"/>
        <w:spacing w:before="80" w:after="160"/>
        <w:ind w:left="360" w:right="360"/>
        <w:shd w:fill="F2F2F2"/>
      </w:pPr>
      <w:r>
        <w:rPr>
          <w:rFonts w:ascii="Consolas" w:hAnsi="Consolas"/>
          <w:color w:val="232323"/>
          <w:sz w:val="17"/>
        </w:rPr>
        <w:t>df = pd.read_csv(input_file, na_values=['', ' ', 'N/A', 'NA', 'null', 'tbd'])</w:t>
      </w:r>
    </w:p>
    <w:p>
      <w:r>
        <w:t>Justificación: las cadenas vacías y expresiones como N/A, null o tbd significan ausencia de información en este contexto. Al convertirlas a NaN, pandas puede contarlas, analizarlas y tratarlas de forma consistente. No se reemplazan automáticamente por cero porque cero tiene significado numérico distinto a dato desconocido.</w:t>
      </w:r>
    </w:p>
    <w:p>
      <w:pPr>
        <w:pStyle w:val="Heading2"/>
      </w:pPr>
      <w:r>
        <w:t>4.2 Estandarización de nombres</w:t>
      </w:r>
    </w:p>
    <w:p>
      <w:pPr>
        <w:pStyle w:val="NoSpacing"/>
        <w:spacing w:before="80" w:after="160"/>
        <w:ind w:left="360" w:right="360"/>
        <w:shd w:fill="F2F2F2"/>
      </w:pPr>
      <w:r>
        <w:rPr>
          <w:rFonts w:ascii="Consolas" w:hAnsi="Consolas"/>
          <w:color w:val="232323"/>
          <w:sz w:val="17"/>
        </w:rPr>
        <w:t>df.columns = (</w:t>
        <w:br/>
        <w:t xml:space="preserve">    df.columns.str.strip()</w:t>
        <w:br/>
        <w:t xml:space="preserve">    .str.lower()</w:t>
        <w:br/>
        <w:t xml:space="preserve">    .str.replace(r'[^a-z0-9]+', '_', regex=True)</w:t>
        <w:br/>
        <w:t xml:space="preserve">    .str.strip('_')</w:t>
        <w:br/>
        <w:t>)</w:t>
      </w:r>
    </w:p>
    <w:p>
      <w:r>
        <w:t>El proceso elimina espacios al inicio y al final, convierte los nombres a minúsculas, reemplaza espacios y caracteres especiales por guiones bajos y elimina guiones sobrantes. Así, Year_of_Release se convierte en year_of_release y Global_Sales en global_sales. Esto evita errores como KeyError al usar nombres con mayúsculas después de haberlos normalizado.</w:t>
      </w:r>
    </w:p>
    <w:p>
      <w:pPr>
        <w:pStyle w:val="Heading2"/>
      </w:pPr>
      <w:r>
        <w:t>4.3 Eliminación de filas y columnas sin información</w:t>
      </w:r>
    </w:p>
    <w:p>
      <w:pPr>
        <w:pStyle w:val="NoSpacing"/>
        <w:spacing w:before="80" w:after="160"/>
        <w:ind w:left="360" w:right="360"/>
        <w:shd w:fill="F2F2F2"/>
      </w:pPr>
      <w:r>
        <w:rPr>
          <w:rFonts w:ascii="Consolas" w:hAnsi="Consolas"/>
          <w:color w:val="232323"/>
          <w:sz w:val="17"/>
        </w:rPr>
        <w:t>df = df.dropna(how='all').dropna(axis=1, how='all')</w:t>
      </w:r>
    </w:p>
    <w:p>
      <w:r>
        <w:t>Solo se eliminan filas completamente vacías y columnas completamente vacías. No se eliminan filas que tengan algún dato útil, porque podrían contener información valiosa en otras variables.</w:t>
      </w:r>
    </w:p>
    <w:p>
      <w:pPr>
        <w:pStyle w:val="Heading2"/>
      </w:pPr>
      <w:r>
        <w:t>4.4 Limpieza de texto</w:t>
      </w:r>
    </w:p>
    <w:p>
      <w:pPr>
        <w:pStyle w:val="NoSpacing"/>
        <w:spacing w:before="80" w:after="160"/>
        <w:ind w:left="360" w:right="360"/>
        <w:shd w:fill="F2F2F2"/>
      </w:pPr>
      <w:r>
        <w:rPr>
          <w:rFonts w:ascii="Consolas" w:hAnsi="Consolas"/>
          <w:color w:val="232323"/>
          <w:sz w:val="17"/>
        </w:rPr>
        <w:t>string_cols = df.select_dtypes(include=['object', 'string']).columns</w:t>
        <w:br/>
        <w:t>for col in string_cols:</w:t>
        <w:br/>
        <w:t xml:space="preserve">    df[col] = df[col].astype('string').str.strip()</w:t>
      </w:r>
    </w:p>
    <w:p>
      <w:r>
        <w:t>Se recortan espacios innecesarios en nombres, géneros, editoriales y otros campos de texto. Esto es esencial para la unión: por ejemplo, Nintendo y Nintendo con un espacio final no deben considerarse valores distintos.</w:t>
      </w:r>
    </w:p>
    <w:p>
      <w:pPr>
        <w:pStyle w:val="Heading2"/>
      </w:pPr>
      <w:r>
        <w:t>4.5 Conversión de columnas numéricas</w:t>
      </w:r>
    </w:p>
    <w:p>
      <w:pPr>
        <w:pStyle w:val="NoSpacing"/>
        <w:spacing w:before="80" w:after="160"/>
        <w:ind w:left="360" w:right="360"/>
        <w:shd w:fill="F2F2F2"/>
      </w:pPr>
      <w:r>
        <w:rPr>
          <w:rFonts w:ascii="Consolas" w:hAnsi="Consolas"/>
          <w:color w:val="232323"/>
          <w:sz w:val="17"/>
        </w:rPr>
        <w:t>df[col] = pd.to_numeric(</w:t>
        <w:br/>
        <w:t xml:space="preserve">    df[col].astype('string').str.replace(',', '', regex=False),</w:t>
        <w:br/>
        <w:t xml:space="preserve">    errors='coerce'</w:t>
        <w:br/>
        <w:t>)</w:t>
      </w:r>
    </w:p>
    <w:p>
      <w:r>
        <w:t>Las columnas de año, ventas, puntuaciones y conteos se convierten a números. errors=coerce transforma valores imposibles de convertir en NaN en lugar de detener el programa. La decisión permite continuar el análisis y localizar posteriormente los datos problemáticos.</w:t>
      </w:r>
    </w:p>
    <w:p>
      <w:pPr>
        <w:pStyle w:val="Heading2"/>
      </w:pPr>
      <w:r>
        <w:t>4.6 Duplicados</w:t>
      </w:r>
    </w:p>
    <w:p>
      <w:pPr>
        <w:pStyle w:val="NoSpacing"/>
        <w:spacing w:before="80" w:after="160"/>
        <w:ind w:left="360" w:right="360"/>
        <w:shd w:fill="F2F2F2"/>
      </w:pPr>
      <w:r>
        <w:rPr>
          <w:rFonts w:ascii="Consolas" w:hAnsi="Consolas"/>
          <w:color w:val="232323"/>
          <w:sz w:val="17"/>
        </w:rPr>
        <w:t>df = df.drop_duplicates().reset_index(drop=True)</w:t>
      </w:r>
    </w:p>
    <w:p>
      <w:r>
        <w:t>Se eliminan únicamente filas completamente idénticas. No se eliminan duplicados por name, year_of_release o global_sales: dos videojuegos pueden compartir el mismo nombre, año o ventas y seguir siendo registros legítimos. Usar ventas o año como identificador produciría pérdida de información.</w:t>
      </w:r>
    </w:p>
    <w:p>
      <w:pPr>
        <w:pStyle w:val="Heading2"/>
      </w:pPr>
      <w:r>
        <w:t>4.7 Incidencia técnica detectada</w:t>
      </w:r>
    </w:p>
    <w:p>
      <w:r>
        <w:t>En el estado actual de Clean1.py aparecen al final unas líneas que convierten year_of_release a fecha con el formato %Y-%m-%d. Esta operación no corresponde al dato, porque el campo contiene años como 2002 y no fechas completas. Si se ejecuta después de guardar el CSV, puede transformar los años en valores vacíos. La recomendación es conservar year_of_release como número y eliminar esa conversión a fecha. El año numérico es necesario para unirlo con la columna year del segundo dataset.</w:t>
      </w:r>
    </w:p>
    <w:p>
      <w:pPr>
        <w:pStyle w:val="Heading1"/>
      </w:pPr>
      <w:r>
        <w:t>5. Limpieza de vgsales.csv</w:t>
      </w:r>
    </w:p>
    <w:p>
      <w:r>
        <w:t>La limpieza se ejecuta en vgsales.py y aplica la misma lógica general, adaptada a sus columnas reales.</w:t>
      </w:r>
    </w:p>
    <w:p>
      <w:pPr>
        <w:pStyle w:val="Heading2"/>
      </w:pPr>
      <w:r>
        <w:t>5.1 Lectura y valores faltantes</w:t>
      </w:r>
    </w:p>
    <w:p>
      <w:pPr>
        <w:pStyle w:val="NoSpacing"/>
        <w:spacing w:before="80" w:after="160"/>
        <w:ind w:left="360" w:right="360"/>
        <w:shd w:fill="F2F2F2"/>
      </w:pPr>
      <w:r>
        <w:rPr>
          <w:rFonts w:ascii="Consolas" w:hAnsi="Consolas"/>
          <w:color w:val="232323"/>
          <w:sz w:val="17"/>
        </w:rPr>
        <w:t>df = pd.read_csv(</w:t>
        <w:br/>
        <w:t xml:space="preserve">    input_file,</w:t>
        <w:br/>
        <w:t xml:space="preserve">    na_values=['', ' ', 'N/A', 'NA', 'null', 'Unknown']</w:t>
        <w:br/>
        <w:t>)</w:t>
      </w:r>
    </w:p>
    <w:p>
      <w:r>
        <w:t>Se estandarizan representaciones textuales de ausencia. Unknown se trata como faltante porque no aporta una categoría analítica específica.</w:t>
      </w:r>
    </w:p>
    <w:p>
      <w:pPr>
        <w:pStyle w:val="Heading2"/>
      </w:pPr>
      <w:r>
        <w:t>5.2 Columnas y tipos</w:t>
      </w:r>
    </w:p>
    <w:p>
      <w:r>
        <w:t>Se normalizan los nombres con la misma regla de Clean1.py. Las columnas rank, year y las cinco columnas de ventas se convierten a valores numéricos. El año puede quedar como número decimal al leer el CSV; esto no afecta la unión porque pandas compara valores numéricos equivalentes.</w:t>
      </w:r>
    </w:p>
    <w:p>
      <w:pPr>
        <w:pStyle w:val="Heading2"/>
      </w:pPr>
      <w:r>
        <w:t>5.3 Resultado de la limpieza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448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Variable</w:t>
            </w:r>
          </w:p>
        </w:tc>
        <w:tc>
          <w:tcPr>
            <w:tcW w:type="dxa" w:w="2304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Faltantes observados</w:t>
            </w:r>
          </w:p>
        </w:tc>
        <w:tc>
          <w:tcPr>
            <w:tcW w:type="dxa" w:w="5760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Interpretación</w:t>
            </w:r>
          </w:p>
        </w:tc>
      </w:tr>
      <w:tr>
        <w:tc>
          <w:tcPr>
            <w:tcW w:type="dxa" w:w="2448"/>
            <w:vAlign w:val="center"/>
            <w:shd w:fill="EAF2F8"/>
          </w:tcPr>
          <w:p>
            <w:r/>
            <w:r>
              <w:rPr>
                <w:b w:val="0"/>
              </w:rPr>
              <w:t>year</w:t>
            </w:r>
          </w:p>
        </w:tc>
        <w:tc>
          <w:tcPr>
            <w:tcW w:type="dxa" w:w="2304"/>
            <w:vAlign w:val="center"/>
            <w:shd w:fill="EAF2F8"/>
          </w:tcPr>
          <w:p>
            <w:r/>
            <w:r>
              <w:rPr>
                <w:b w:val="0"/>
              </w:rPr>
              <w:t>271</w:t>
            </w:r>
          </w:p>
        </w:tc>
        <w:tc>
          <w:tcPr>
            <w:tcW w:type="dxa" w:w="5760"/>
            <w:vAlign w:val="center"/>
            <w:shd w:fill="EAF2F8"/>
          </w:tcPr>
          <w:p>
            <w:r/>
            <w:r>
              <w:rPr>
                <w:b w:val="0"/>
              </w:rPr>
              <w:t>El archivo original no informa el año de algunos juegos.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</w:rPr>
              <w:t>publisher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</w:rPr>
              <w:t>261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</w:rPr>
              <w:t>El editor no está disponible en algunos registros.</w:t>
            </w:r>
          </w:p>
        </w:tc>
      </w:tr>
      <w:tr>
        <w:tc>
          <w:tcPr>
            <w:tcW w:type="dxa" w:w="2448"/>
            <w:vAlign w:val="center"/>
            <w:shd w:fill="EAF2F8"/>
          </w:tcPr>
          <w:p>
            <w:r/>
            <w:r>
              <w:rPr>
                <w:b w:val="0"/>
              </w:rPr>
              <w:t>Resto de columnas</w:t>
            </w:r>
          </w:p>
        </w:tc>
        <w:tc>
          <w:tcPr>
            <w:tcW w:type="dxa" w:w="2304"/>
            <w:vAlign w:val="center"/>
            <w:shd w:fill="EAF2F8"/>
          </w:tcPr>
          <w:p>
            <w:r/>
            <w:r>
              <w:rPr>
                <w:b w:val="0"/>
              </w:rPr>
              <w:t>0</w:t>
            </w:r>
          </w:p>
        </w:tc>
        <w:tc>
          <w:tcPr>
            <w:tcW w:type="dxa" w:w="5760"/>
            <w:vAlign w:val="center"/>
            <w:shd w:fill="EAF2F8"/>
          </w:tcPr>
          <w:p>
            <w:r/>
            <w:r>
              <w:rPr>
                <w:b w:val="0"/>
              </w:rPr>
              <w:t>No se observaron faltantes en las demás variables principales.</w:t>
            </w:r>
          </w:p>
        </w:tc>
      </w:tr>
    </w:tbl>
    <w:p/>
    <w:p>
      <w:r>
        <w:t>Los faltantes de year y publisher se conservan como NaN. Imputar un año o una editorial sin evidencia introduciría información falsa y podría crear coincidencias incorrectas durante la unión.</w:t>
      </w:r>
    </w:p>
    <w:p>
      <w:pPr>
        <w:pStyle w:val="Heading1"/>
      </w:pPr>
      <w:r>
        <w:t>6. Unión de los datasets</w:t>
      </w:r>
    </w:p>
    <w:p>
      <w:pPr>
        <w:pStyle w:val="Heading2"/>
      </w:pPr>
      <w:r>
        <w:t>6.1 Por qué se utiliza merge y no concat</w:t>
      </w:r>
    </w:p>
    <w:p>
      <w:r>
        <w:t>concat apila filas una debajo de otra. No es adecuado aquí porque ambos archivos describen videojuegos relacionados, pero tienen columnas diferentes. La operación necesaria es merge: añadir las calificaciones del primer archivo a los registros de ventas del segundo cuando se identifica el mismo juego.</w:t>
      </w:r>
    </w:p>
    <w:p>
      <w:pPr>
        <w:pStyle w:val="Heading2"/>
      </w:pPr>
      <w:r>
        <w:t>6.2 Homologación de la columna año</w:t>
      </w:r>
    </w:p>
    <w:p>
      <w:pPr>
        <w:pStyle w:val="NoSpacing"/>
        <w:spacing w:before="80" w:after="160"/>
        <w:ind w:left="360" w:right="360"/>
        <w:shd w:fill="F2F2F2"/>
      </w:pPr>
      <w:r>
        <w:rPr>
          <w:rFonts w:ascii="Consolas" w:hAnsi="Consolas"/>
          <w:color w:val="232323"/>
          <w:sz w:val="17"/>
        </w:rPr>
        <w:t>ratings = ratings.rename(columns={'year_of_release': 'year'})</w:t>
        <w:br/>
        <w:t>for data in (sales, ratings):</w:t>
        <w:br/>
        <w:t xml:space="preserve">    data['year'] = pd.to_numeric(data['year'], errors='coerce')</w:t>
      </w:r>
    </w:p>
    <w:p>
      <w:r>
        <w:t>La homologación permite que los dos DataFrames utilicen el mismo nombre y tipo para el año. Sin ella, la unión no podría usar una clave común.</w:t>
      </w:r>
    </w:p>
    <w:p>
      <w:pPr>
        <w:pStyle w:val="Heading2"/>
      </w:pPr>
      <w:r>
        <w:t>6.3 Claves de unión</w:t>
      </w:r>
    </w:p>
    <w:p>
      <w:pPr>
        <w:pStyle w:val="NoSpacing"/>
        <w:spacing w:before="80" w:after="160"/>
        <w:ind w:left="360" w:right="360"/>
        <w:shd w:fill="F2F2F2"/>
      </w:pPr>
      <w:r>
        <w:rPr>
          <w:rFonts w:ascii="Consolas" w:hAnsi="Consolas"/>
          <w:color w:val="232323"/>
          <w:sz w:val="17"/>
        </w:rPr>
        <w:t>merge_keys = ['name', 'year', 'genre']</w:t>
      </w:r>
    </w:p>
    <w:p>
      <w:r>
        <w:t>Se utilizan tres campos conjuntamente. name identifica el título, year reduce confusiones entre lanzamientos con el mismo nombre y genre aporta contexto adicional. No se usa publisher como clave obligatoria porque sus valores pueden faltar o presentar diferencias entre fuentes. Tampoco se usa platform porque no existe en Cleaned Data 1.csv.</w:t>
      </w:r>
    </w:p>
    <w:p>
      <w:pPr>
        <w:pStyle w:val="Heading2"/>
      </w:pPr>
      <w:r>
        <w:t>6.4 Selección de variables de calificación</w:t>
      </w:r>
    </w:p>
    <w:p>
      <w:pPr>
        <w:pStyle w:val="NoSpacing"/>
        <w:spacing w:before="80" w:after="160"/>
        <w:ind w:left="360" w:right="360"/>
        <w:shd w:fill="F2F2F2"/>
      </w:pPr>
      <w:r>
        <w:rPr>
          <w:rFonts w:ascii="Consolas" w:hAnsi="Consolas"/>
          <w:color w:val="232323"/>
          <w:sz w:val="17"/>
        </w:rPr>
        <w:t>rating_columns = merge_keys + [</w:t>
        <w:br/>
        <w:t xml:space="preserve">    'critic_score', 'critic_count', 'user_score',</w:t>
        <w:br/>
        <w:t xml:space="preserve">    'user_count', 'developer', 'rating'</w:t>
        <w:br/>
        <w:t>]</w:t>
      </w:r>
    </w:p>
    <w:p>
      <w:r>
        <w:t>Se seleccionan solo las variables que aporta el segundo dataset. Las ventas ya están en vgsales_cleaned.csv; volver a incorporarlas generaría columnas duplicadas con sufijos y haría el resultado menos entendible.</w:t>
      </w:r>
    </w:p>
    <w:p>
      <w:pPr>
        <w:pStyle w:val="Heading2"/>
      </w:pPr>
      <w:r>
        <w:t>6.5 Eliminación de duplicados en la tabla auxiliar</w:t>
      </w:r>
    </w:p>
    <w:p>
      <w:pPr>
        <w:pStyle w:val="NoSpacing"/>
        <w:spacing w:before="80" w:after="160"/>
        <w:ind w:left="360" w:right="360"/>
        <w:shd w:fill="F2F2F2"/>
      </w:pPr>
      <w:r>
        <w:rPr>
          <w:rFonts w:ascii="Consolas" w:hAnsi="Consolas"/>
          <w:color w:val="232323"/>
          <w:sz w:val="17"/>
        </w:rPr>
        <w:t>ratings = ratings[rating_columns].drop_duplicates(subset=merge_keys)</w:t>
      </w:r>
    </w:p>
    <w:p>
      <w:r>
        <w:t>La tabla de calificaciones se deja con una fila por combinación de name, year y genre. Esto permite que cada registro de ventas encuentre como máximo una fila auxiliar y evita multiplicar registros durante la unión.</w:t>
      </w:r>
    </w:p>
    <w:p>
      <w:pPr>
        <w:pStyle w:val="Heading2"/>
      </w:pPr>
      <w:r>
        <w:t>6.6 Tipo de unión y control de cardinalidad</w:t>
      </w:r>
    </w:p>
    <w:p>
      <w:pPr>
        <w:pStyle w:val="NoSpacing"/>
        <w:spacing w:before="80" w:after="160"/>
        <w:ind w:left="360" w:right="360"/>
        <w:shd w:fill="F2F2F2"/>
      </w:pPr>
      <w:r>
        <w:rPr>
          <w:rFonts w:ascii="Consolas" w:hAnsi="Consolas"/>
          <w:color w:val="232323"/>
          <w:sz w:val="17"/>
        </w:rPr>
        <w:t>merged = sales.merge(</w:t>
        <w:br/>
        <w:t xml:space="preserve">    ratings, on=merge_keys, how='left',</w:t>
        <w:br/>
        <w:t xml:space="preserve">    indicator=True, validate='many_to_one'</w:t>
        <w:br/>
        <w:t>)</w:t>
      </w:r>
    </w:p>
    <w:p>
      <w:r>
        <w:t>how=left conserva todos los registros de ventas, incluso si no tienen calificación. indicator=True crea temporalmente una marca para contar coincidencias. validate=many_to_one verifica que muchas filas de ventas puedan relacionarse con una sola fila de calificaciones; si la tabla auxiliar tuviera claves repetidas, el script se detendría en lugar de producir duplicaciones silenciosas.</w:t>
      </w:r>
    </w:p>
    <w:p>
      <w:pPr>
        <w:pStyle w:val="Heading1"/>
      </w:pPr>
      <w:r>
        <w:t>7. Resultados y validación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5184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5328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Resultado</w:t>
            </w:r>
          </w:p>
        </w:tc>
      </w:tr>
      <w:tr>
        <w:tc>
          <w:tcPr>
            <w:tcW w:type="dxa" w:w="5184"/>
            <w:vAlign w:val="center"/>
            <w:shd w:fill="EAF2F8"/>
          </w:tcPr>
          <w:p>
            <w:r/>
            <w:r>
              <w:rPr>
                <w:b w:val="0"/>
              </w:rPr>
              <w:t>Filas de vgsales_cleaned.csv</w:t>
            </w:r>
          </w:p>
        </w:tc>
        <w:tc>
          <w:tcPr>
            <w:tcW w:type="dxa" w:w="5328"/>
            <w:vAlign w:val="center"/>
            <w:shd w:fill="EAF2F8"/>
          </w:tcPr>
          <w:p>
            <w:r/>
            <w:r>
              <w:rPr>
                <w:b w:val="0"/>
              </w:rPr>
              <w:t>16.598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Filas de Cleaned Data Final.csv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</w:rPr>
              <w:t>6.894</w:t>
            </w:r>
          </w:p>
        </w:tc>
      </w:tr>
      <w:tr>
        <w:tc>
          <w:tcPr>
            <w:tcW w:type="dxa" w:w="5184"/>
            <w:vAlign w:val="center"/>
            <w:shd w:fill="EAF2F8"/>
          </w:tcPr>
          <w:p>
            <w:r/>
            <w:r>
              <w:rPr>
                <w:b w:val="0"/>
              </w:rPr>
              <w:t>Filas del resultado combinado</w:t>
            </w:r>
          </w:p>
        </w:tc>
        <w:tc>
          <w:tcPr>
            <w:tcW w:type="dxa" w:w="5328"/>
            <w:vAlign w:val="center"/>
            <w:shd w:fill="EAF2F8"/>
          </w:tcPr>
          <w:p>
            <w:r/>
            <w:r>
              <w:rPr>
                <w:b w:val="0"/>
              </w:rPr>
              <w:t>16.598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Coincidencias encontradas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</w:rPr>
              <w:t>7.788</w:t>
            </w:r>
          </w:p>
        </w:tc>
      </w:tr>
      <w:tr>
        <w:tc>
          <w:tcPr>
            <w:tcW w:type="dxa" w:w="5184"/>
            <w:vAlign w:val="center"/>
            <w:shd w:fill="EAF2F8"/>
          </w:tcPr>
          <w:p>
            <w:r/>
            <w:r>
              <w:rPr>
                <w:b w:val="0"/>
              </w:rPr>
              <w:t>Sin coincidencia exacta</w:t>
            </w:r>
          </w:p>
        </w:tc>
        <w:tc>
          <w:tcPr>
            <w:tcW w:type="dxa" w:w="5328"/>
            <w:vAlign w:val="center"/>
            <w:shd w:fill="EAF2F8"/>
          </w:tcPr>
          <w:p>
            <w:r/>
            <w:r>
              <w:rPr>
                <w:b w:val="0"/>
              </w:rPr>
              <w:t>8.810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Archivo final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</w:rPr>
              <w:t>vgsales_merged.csv</w:t>
            </w:r>
          </w:p>
        </w:tc>
      </w:tr>
    </w:tbl>
    <w:p/>
    <w:p>
      <w:r>
        <w:t>La cantidad final de filas coincide con la tabla base de ventas. Esto confirma que el left merge no descartó videojuegos. Las 8.810 filas sin coincidencia no son necesariamente errores: pueden deberse a diferencias de escritura, años faltantes, géneros diferentes, juegos presentes en una fuente y ausentes en la otra, o a que una fuente tenga una versión por plataforma y la otra un registro agregado.</w:t>
      </w:r>
    </w:p>
    <w:p>
      <w:pPr>
        <w:pStyle w:val="Heading2"/>
      </w:pPr>
      <w:r>
        <w:t>7.1 Cuartiles principales</w:t>
      </w:r>
    </w:p>
    <w:p>
      <w:r>
        <w:t>Los cuartiles se calcularon sobre las columnas numéricas del dataset combinado. Q1 corresponde al percentil 25, Q2 a la mediana y Q3 al percentil 75.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3600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Variable</w:t>
            </w:r>
          </w:p>
        </w:tc>
        <w:tc>
          <w:tcPr>
            <w:tcW w:type="dxa" w:w="2016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Q1</w:t>
            </w:r>
          </w:p>
        </w:tc>
        <w:tc>
          <w:tcPr>
            <w:tcW w:type="dxa" w:w="2448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Q2 / mediana</w:t>
            </w:r>
          </w:p>
        </w:tc>
        <w:tc>
          <w:tcPr>
            <w:tcW w:type="dxa" w:w="2016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Q3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r/>
            <w:r>
              <w:rPr>
                <w:b w:val="0"/>
              </w:rPr>
              <w:t>year</w:t>
            </w:r>
          </w:p>
        </w:tc>
        <w:tc>
          <w:tcPr>
            <w:tcW w:type="dxa" w:w="2016"/>
            <w:vAlign w:val="center"/>
            <w:shd w:fill="EAF2F8"/>
          </w:tcPr>
          <w:p>
            <w:r/>
            <w:r>
              <w:rPr>
                <w:b w:val="0"/>
              </w:rPr>
              <w:t>2003</w:t>
            </w:r>
          </w:p>
        </w:tc>
        <w:tc>
          <w:tcPr>
            <w:tcW w:type="dxa" w:w="2448"/>
            <w:vAlign w:val="center"/>
            <w:shd w:fill="EAF2F8"/>
          </w:tcPr>
          <w:p>
            <w:r/>
            <w:r>
              <w:rPr>
                <w:b w:val="0"/>
              </w:rPr>
              <w:t>2007</w:t>
            </w:r>
          </w:p>
        </w:tc>
        <w:tc>
          <w:tcPr>
            <w:tcW w:type="dxa" w:w="2016"/>
            <w:vAlign w:val="center"/>
            <w:shd w:fill="EAF2F8"/>
          </w:tcPr>
          <w:p>
            <w:r/>
            <w:r>
              <w:rPr>
                <w:b w:val="0"/>
              </w:rPr>
              <w:t>2010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</w:rPr>
              <w:t>na_sales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0.00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</w:rPr>
              <w:t>0.08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0.24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r/>
            <w:r>
              <w:rPr>
                <w:b w:val="0"/>
              </w:rPr>
              <w:t>eu_sales</w:t>
            </w:r>
          </w:p>
        </w:tc>
        <w:tc>
          <w:tcPr>
            <w:tcW w:type="dxa" w:w="2016"/>
            <w:vAlign w:val="center"/>
            <w:shd w:fill="EAF2F8"/>
          </w:tcPr>
          <w:p>
            <w:r/>
            <w:r>
              <w:rPr>
                <w:b w:val="0"/>
              </w:rPr>
              <w:t>0.00</w:t>
            </w:r>
          </w:p>
        </w:tc>
        <w:tc>
          <w:tcPr>
            <w:tcW w:type="dxa" w:w="2448"/>
            <w:vAlign w:val="center"/>
            <w:shd w:fill="EAF2F8"/>
          </w:tcPr>
          <w:p>
            <w:r/>
            <w:r>
              <w:rPr>
                <w:b w:val="0"/>
              </w:rPr>
              <w:t>0.02</w:t>
            </w:r>
          </w:p>
        </w:tc>
        <w:tc>
          <w:tcPr>
            <w:tcW w:type="dxa" w:w="2016"/>
            <w:vAlign w:val="center"/>
            <w:shd w:fill="EAF2F8"/>
          </w:tcPr>
          <w:p>
            <w:r/>
            <w:r>
              <w:rPr>
                <w:b w:val="0"/>
              </w:rPr>
              <w:t>0.11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</w:rPr>
              <w:t>jp_sales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0.00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</w:rPr>
              <w:t>0.00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0.04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r/>
            <w:r>
              <w:rPr>
                <w:b w:val="0"/>
              </w:rPr>
              <w:t>other_sales</w:t>
            </w:r>
          </w:p>
        </w:tc>
        <w:tc>
          <w:tcPr>
            <w:tcW w:type="dxa" w:w="2016"/>
            <w:vAlign w:val="center"/>
            <w:shd w:fill="EAF2F8"/>
          </w:tcPr>
          <w:p>
            <w:r/>
            <w:r>
              <w:rPr>
                <w:b w:val="0"/>
              </w:rPr>
              <w:t>0.00</w:t>
            </w:r>
          </w:p>
        </w:tc>
        <w:tc>
          <w:tcPr>
            <w:tcW w:type="dxa" w:w="2448"/>
            <w:vAlign w:val="center"/>
            <w:shd w:fill="EAF2F8"/>
          </w:tcPr>
          <w:p>
            <w:r/>
            <w:r>
              <w:rPr>
                <w:b w:val="0"/>
              </w:rPr>
              <w:t>0.01</w:t>
            </w:r>
          </w:p>
        </w:tc>
        <w:tc>
          <w:tcPr>
            <w:tcW w:type="dxa" w:w="2016"/>
            <w:vAlign w:val="center"/>
            <w:shd w:fill="EAF2F8"/>
          </w:tcPr>
          <w:p>
            <w:r/>
            <w:r>
              <w:rPr>
                <w:b w:val="0"/>
              </w:rPr>
              <w:t>0.04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</w:rPr>
              <w:t>global_sales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0.06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</w:rPr>
              <w:t>0.17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0.47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r/>
            <w:r>
              <w:rPr>
                <w:b w:val="0"/>
              </w:rPr>
              <w:t>critic_score</w:t>
            </w:r>
          </w:p>
        </w:tc>
        <w:tc>
          <w:tcPr>
            <w:tcW w:type="dxa" w:w="2016"/>
            <w:vAlign w:val="center"/>
            <w:shd w:fill="EAF2F8"/>
          </w:tcPr>
          <w:p>
            <w:r/>
            <w:r>
              <w:rPr>
                <w:b w:val="0"/>
              </w:rPr>
              <w:t>61</w:t>
            </w:r>
          </w:p>
        </w:tc>
        <w:tc>
          <w:tcPr>
            <w:tcW w:type="dxa" w:w="2448"/>
            <w:vAlign w:val="center"/>
            <w:shd w:fill="EAF2F8"/>
          </w:tcPr>
          <w:p>
            <w:r/>
            <w:r>
              <w:rPr>
                <w:b w:val="0"/>
              </w:rPr>
              <w:t>72</w:t>
            </w:r>
          </w:p>
        </w:tc>
        <w:tc>
          <w:tcPr>
            <w:tcW w:type="dxa" w:w="2016"/>
            <w:vAlign w:val="center"/>
            <w:shd w:fill="EAF2F8"/>
          </w:tcPr>
          <w:p>
            <w:r/>
            <w:r>
              <w:rPr>
                <w:b w:val="0"/>
              </w:rPr>
              <w:t>81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</w:rPr>
              <w:t>user_score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6.50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</w:rPr>
              <w:t>7.50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8.20</w:t>
            </w:r>
          </w:p>
        </w:tc>
      </w:tr>
    </w:tbl>
    <w:p/>
    <w:p>
      <w:r>
        <w:t>Las ventas están expresadas en millones. Para global_sales, la mitad central de los registros se encuentra entre 0,06 y 0,47 millones. Su rango intercuartílico es IQR = 0,47 - 0,06 = 0,41 millones.</w:t>
      </w:r>
    </w:p>
    <w:p>
      <w:pPr>
        <w:pStyle w:val="Heading1"/>
      </w:pPr>
      <w:r>
        <w:t>8. Decisiones justificadas y criterios de calidad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Decisión</w:t>
            </w:r>
          </w:p>
        </w:tc>
        <w:tc>
          <w:tcPr>
            <w:tcW w:type="dxa" w:w="6912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Justificación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r/>
            <w:r>
              <w:rPr>
                <w:b w:val="0"/>
              </w:rPr>
              <w:t>No rellenar faltantes automáticamente</w:t>
            </w:r>
          </w:p>
        </w:tc>
        <w:tc>
          <w:tcPr>
            <w:tcW w:type="dxa" w:w="6912"/>
            <w:vAlign w:val="center"/>
            <w:shd w:fill="EAF2F8"/>
          </w:tcPr>
          <w:p>
            <w:r/>
            <w:r>
              <w:rPr>
                <w:b w:val="0"/>
              </w:rPr>
              <w:t>Cero, desconocido y no disponible tienen significados diferentes. Se evita inventar datos.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</w:rPr>
              <w:t>Eliminar solo duplicados exactos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</w:rPr>
              <w:t>Nombre, año y ventas no identifican por sí solos un registro único.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r/>
            <w:r>
              <w:rPr>
                <w:b w:val="0"/>
              </w:rPr>
              <w:t>Usar name + year + genre</w:t>
            </w:r>
          </w:p>
        </w:tc>
        <w:tc>
          <w:tcPr>
            <w:tcW w:type="dxa" w:w="6912"/>
            <w:vAlign w:val="center"/>
            <w:shd w:fill="EAF2F8"/>
          </w:tcPr>
          <w:p>
            <w:r/>
            <w:r>
              <w:rPr>
                <w:b w:val="0"/>
              </w:rPr>
              <w:t>La combinación ofrece más precisión que usar solo el nombre.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</w:rPr>
              <w:t>No exigir publisher en la clave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</w:rPr>
              <w:t>Hay editoriales faltantes y diferencias de escritura entre fuentes.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r/>
            <w:r>
              <w:rPr>
                <w:b w:val="0"/>
              </w:rPr>
              <w:t>Usar left merge</w:t>
            </w:r>
          </w:p>
        </w:tc>
        <w:tc>
          <w:tcPr>
            <w:tcW w:type="dxa" w:w="6912"/>
            <w:vAlign w:val="center"/>
            <w:shd w:fill="EAF2F8"/>
          </w:tcPr>
          <w:p>
            <w:r/>
            <w:r>
              <w:rPr>
                <w:b w:val="0"/>
              </w:rPr>
              <w:t>El dataset de ventas es la base del análisis y no debe perder registros.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</w:rPr>
              <w:t>Seleccionar solo ratings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</w:rPr>
              <w:t>Evita repetir columnas de ventas y mantiene un resultado comprensible.</w:t>
            </w:r>
          </w:p>
        </w:tc>
      </w:tr>
      <w:tr>
        <w:tc>
          <w:tcPr>
            <w:tcW w:type="dxa" w:w="3600"/>
            <w:vAlign w:val="center"/>
            <w:shd w:fill="EAF2F8"/>
          </w:tcPr>
          <w:p>
            <w:r/>
            <w:r>
              <w:rPr>
                <w:b w:val="0"/>
              </w:rPr>
              <w:t>Validar many_to_one</w:t>
            </w:r>
          </w:p>
        </w:tc>
        <w:tc>
          <w:tcPr>
            <w:tcW w:type="dxa" w:w="6912"/>
            <w:vAlign w:val="center"/>
            <w:shd w:fill="EAF2F8"/>
          </w:tcPr>
          <w:p>
            <w:r/>
            <w:r>
              <w:rPr>
                <w:b w:val="0"/>
              </w:rPr>
              <w:t>Previene duplicaciones causadas por claves repetidas en la tabla auxiliar.</w:t>
            </w:r>
          </w:p>
        </w:tc>
      </w:tr>
    </w:tbl>
    <w:p/>
    <w:p>
      <w:pPr>
        <w:pStyle w:val="Heading1"/>
      </w:pPr>
      <w:r>
        <w:t>9. Limitaciones y mejoras futuras</w:t>
      </w:r>
    </w:p>
    <w:p>
      <w:pPr>
        <w:pStyle w:val="ListBullet"/>
      </w:pPr>
      <w:r>
        <w:t>La coincidencia exacta no detecta variantes como signos de puntuación, abreviaturas, traducciones o espacios internos diferentes.</w:t>
      </w:r>
    </w:p>
    <w:p>
      <w:pPr>
        <w:pStyle w:val="ListBullet"/>
      </w:pPr>
      <w:r>
        <w:t>Los años faltantes impiden unir algunos registros aunque el juego exista en ambas fuentes.</w:t>
      </w:r>
    </w:p>
    <w:p>
      <w:pPr>
        <w:pStyle w:val="ListBullet"/>
      </w:pPr>
      <w:r>
        <w:t>El segundo dataset puede tener varias plataformas para un mismo título, mientras que el dataset de calificaciones puede estar agregado. Esto debe considerarse al interpretar la repetición de calificaciones.</w:t>
      </w:r>
    </w:p>
    <w:p>
      <w:pPr>
        <w:pStyle w:val="ListBullet"/>
      </w:pPr>
      <w:r>
        <w:t>La imputación de faltantes debería decidirse según el modelo posterior y justificarse estadísticamente; no debe hacerse solo para llenar la tabla.</w:t>
      </w:r>
    </w:p>
    <w:p>
      <w:pPr>
        <w:pStyle w:val="ListBullet"/>
      </w:pPr>
      <w:r>
        <w:t>Una mejora posible es crear una clave de texto normalizada, aplicar coincidencia aproximada y revisar manualmente los emparejamientos dudosos.</w:t>
      </w:r>
    </w:p>
    <w:p>
      <w:pPr>
        <w:pStyle w:val="ListBullet"/>
      </w:pPr>
      <w:r>
        <w:t>Antes de modelar, conviene separar los datos de entrenamiento y prueba y evitar fuga de información.</w:t>
      </w:r>
    </w:p>
    <w:p>
      <w:pPr>
        <w:pStyle w:val="Heading1"/>
      </w:pPr>
      <w:r>
        <w:t>10. Reproducibilidad</w:t>
      </w:r>
    </w:p>
    <w:p>
      <w:r>
        <w:t>Desde la carpeta del proyecto, los scripts se ejecutan en este orden:</w:t>
      </w:r>
    </w:p>
    <w:p>
      <w:pPr>
        <w:pStyle w:val="ListNumber"/>
      </w:pPr>
      <w:r>
        <w:t>Ejecutar Clean1.py para generar Cleaned Data Final.csv.</w:t>
      </w:r>
    </w:p>
    <w:p>
      <w:pPr>
        <w:pStyle w:val="ListNumber"/>
      </w:pPr>
      <w:r>
        <w:t>Ejecutar vgsales.py para generar vgsales_cleaned.csv.</w:t>
      </w:r>
    </w:p>
    <w:p>
      <w:pPr>
        <w:pStyle w:val="ListNumber"/>
      </w:pPr>
      <w:r>
        <w:t>Ejecutar merged.py para generar vgsales_merged.csv.</w:t>
      </w:r>
    </w:p>
    <w:p>
      <w:pPr>
        <w:pStyle w:val="NoSpacing"/>
        <w:spacing w:before="80" w:after="160"/>
        <w:ind w:left="360" w:right="360"/>
        <w:shd w:fill="F2F2F2"/>
      </w:pPr>
      <w:r>
        <w:rPr>
          <w:rFonts w:ascii="Consolas" w:hAnsi="Consolas"/>
          <w:color w:val="232323"/>
          <w:sz w:val="17"/>
        </w:rPr>
        <w:t>python Clean1.py</w:t>
        <w:br/>
        <w:t>python vgsales.py</w:t>
        <w:br/>
        <w:t>python merged.py</w:t>
      </w:r>
    </w:p>
    <w:p>
      <w:r>
        <w:t>La salida de merged.py debe indicar 16.598 filas combinadas. Si la cantidad cambia, se deben revisar los archivos de entrada, las claves de unión y la existencia de duplicados.</w:t>
      </w:r>
    </w:p>
    <w:p>
      <w:pPr>
        <w:pStyle w:val="Heading1"/>
      </w:pPr>
      <w:r>
        <w:t>11. Conclusión</w:t>
      </w:r>
    </w:p>
    <w:p>
      <w:r>
        <w:t>El proyecto cuenta ahora con un flujo de preparación reproducible y razonado. La limpieza mejora la consistencia de nombres, textos y tipos; la conservación explícita de faltantes mantiene la integridad de la información; y la unión left integra las calificaciones sin eliminar videojuegos del registro de ventas. El archivo vgsales_merged.csv constituye una base adecuada para explorar relaciones entre ventas, plataforma, año, género y recepción crítica o de usuarios, siempre considerando las limitaciones de coincidencia y agregación descritas.</w:t>
      </w:r>
    </w:p>
    <w:p>
      <w:pPr>
        <w:pStyle w:val="Heading1"/>
      </w:pPr>
      <w:r>
        <w:t>Anexo A. Estructura de los archivos generados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Archivo</w:t>
            </w:r>
          </w:p>
        </w:tc>
        <w:tc>
          <w:tcPr>
            <w:tcW w:type="dxa" w:w="4320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Contenido</w:t>
            </w:r>
          </w:p>
        </w:tc>
        <w:tc>
          <w:tcPr>
            <w:tcW w:type="dxa" w:w="3024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Función</w:t>
            </w:r>
          </w:p>
        </w:tc>
      </w:tr>
      <w:tr>
        <w:tc>
          <w:tcPr>
            <w:tcW w:type="dxa" w:w="3168"/>
            <w:vAlign w:val="center"/>
            <w:shd w:fill="EAF2F8"/>
          </w:tcPr>
          <w:p>
            <w:r/>
            <w:r>
              <w:rPr>
                <w:b w:val="0"/>
              </w:rPr>
              <w:t>Cleaned Data Final.csv</w:t>
            </w:r>
          </w:p>
        </w:tc>
        <w:tc>
          <w:tcPr>
            <w:tcW w:type="dxa" w:w="4320"/>
            <w:vAlign w:val="center"/>
            <w:shd w:fill="EAF2F8"/>
          </w:tcPr>
          <w:p>
            <w:r/>
            <w:r>
              <w:rPr>
                <w:b w:val="0"/>
              </w:rPr>
              <w:t>Ventas, calificaciones, desarrollador y rating.</w:t>
            </w:r>
          </w:p>
        </w:tc>
        <w:tc>
          <w:tcPr>
            <w:tcW w:type="dxa" w:w="3024"/>
            <w:vAlign w:val="center"/>
            <w:shd w:fill="EAF2F8"/>
          </w:tcPr>
          <w:p>
            <w:r/>
            <w:r>
              <w:rPr>
                <w:b w:val="0"/>
              </w:rPr>
              <w:t>Fuente auxiliar de recepción y características.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</w:rPr>
              <w:t>vgsales_cleaned.csv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</w:rPr>
              <w:t>Ranking, plataforma, año, género, editorial y ventas.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</w:rPr>
              <w:t>Tabla base comercial.</w:t>
            </w:r>
          </w:p>
        </w:tc>
      </w:tr>
      <w:tr>
        <w:tc>
          <w:tcPr>
            <w:tcW w:type="dxa" w:w="3168"/>
            <w:vAlign w:val="center"/>
            <w:shd w:fill="EAF2F8"/>
          </w:tcPr>
          <w:p>
            <w:r/>
            <w:r>
              <w:rPr>
                <w:b w:val="0"/>
              </w:rPr>
              <w:t>vgsales_merged.csv</w:t>
            </w:r>
          </w:p>
        </w:tc>
        <w:tc>
          <w:tcPr>
            <w:tcW w:type="dxa" w:w="4320"/>
            <w:vAlign w:val="center"/>
            <w:shd w:fill="EAF2F8"/>
          </w:tcPr>
          <w:p>
            <w:r/>
            <w:r>
              <w:rPr>
                <w:b w:val="0"/>
              </w:rPr>
              <w:t>Ventas más calificaciones asociadas.</w:t>
            </w:r>
          </w:p>
        </w:tc>
        <w:tc>
          <w:tcPr>
            <w:tcW w:type="dxa" w:w="3024"/>
            <w:vAlign w:val="center"/>
            <w:shd w:fill="EAF2F8"/>
          </w:tcPr>
          <w:p>
            <w:r/>
            <w:r>
              <w:rPr>
                <w:b w:val="0"/>
              </w:rPr>
              <w:t>Dataset integrado para análisis.</w:t>
            </w:r>
          </w:p>
        </w:tc>
      </w:tr>
    </w:tbl>
    <w:p/>
    <w:p>
      <w:pPr>
        <w:pStyle w:val="Heading1"/>
      </w:pPr>
      <w:r>
        <w:t>Anexo B. Código esencial de unión</w:t>
      </w:r>
    </w:p>
    <w:p>
      <w:pPr>
        <w:pStyle w:val="NoSpacing"/>
        <w:spacing w:before="80" w:after="160"/>
        <w:ind w:left="360" w:right="360"/>
        <w:shd w:fill="F2F2F2"/>
      </w:pPr>
      <w:r>
        <w:rPr>
          <w:rFonts w:ascii="Consolas" w:hAnsi="Consolas"/>
          <w:color w:val="232323"/>
          <w:sz w:val="17"/>
        </w:rPr>
        <w:t>import pandas as pd</w:t>
        <w:br/>
        <w:br/>
        <w:t>sales = pd.read_csv('vgsales_cleaned.csv')</w:t>
        <w:br/>
        <w:t>ratings = pd.read_csv('Cleaned Data Final.csv')</w:t>
        <w:br/>
        <w:t>ratings = ratings.rename(columns={'year_of_release': 'year'})</w:t>
        <w:br/>
        <w:t>merge_keys = ['name', 'year', 'genre']</w:t>
        <w:br/>
        <w:t>ratings = ratings[merge_keys + [</w:t>
        <w:br/>
        <w:t xml:space="preserve">    'critic_score', 'critic_count', 'user_score',</w:t>
        <w:br/>
        <w:t xml:space="preserve">    'user_count', 'developer', 'rating'</w:t>
        <w:br/>
        <w:t>]].drop_duplicates(subset=merge_keys)</w:t>
        <w:br/>
        <w:t>merged = sales.merge(</w:t>
        <w:br/>
        <w:t xml:space="preserve">    ratings, on=merge_keys, how='left',</w:t>
        <w:br/>
        <w:t xml:space="preserve">    indicator=True, validate='many_to_one'</w:t>
        <w:br/>
        <w:t>)</w:t>
        <w:br/>
        <w:t>merged.drop(columns='_merge').to_csv('vgsales_merged.csv', index=False)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Proyecto de minería de datos | Informe CRISP-DM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limpieza y unión de datasets - CRISP-DM</dc:title>
  <dc:subject>Preparación de datos de videojuegos</dc:subject>
  <dc:creator>Proyecto de minería de datos</dc:creator>
  <cp:keywords>CRISP-DM, pandas, limpieza, merge, videojuegos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