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C5C"/>
          <w:sz w:val="38"/>
        </w:rPr>
        <w:t>TXNR en DEV — informe de la sesión del 30/08 y plan del 01/09</w:t>
      </w:r>
    </w:p>
    <w:p>
      <w:pPr>
        <w:jc w:val="center"/>
      </w:pPr>
      <w:r>
        <w:rPr>
          <w:color w:val="595959"/>
          <w:sz w:val="20"/>
        </w:rPr>
        <w:t>Para: Fabián · De: Pablo · 31/08/2026 · dev @ a4f4159 · imágenes del 30/08 desplegadas</w:t>
      </w:r>
    </w:p>
    <w:p>
      <w:pPr>
        <w:pStyle w:val="Heading1"/>
      </w:pPr>
      <w:r>
        <w:rPr>
          <w:color w:val="072C5C"/>
        </w:rPr>
        <w:t>1 · Resumen ejecutivo</w:t>
      </w:r>
    </w:p>
    <w:p>
      <w:r>
        <w:t>La sesión de evidencias del 30/08 contra el ASO real validó la mitad del pipeline y destapó cuatro hallazgos. El principal parecía un bloqueo estructural del ASO (los movimientos rechazaban con 400 el identificador de tarjeta que nos da el financial-overview) — pero el análisis nocturno de las trazas de MinIO cerró el diagnóstico: la causa es NUESTRA y el fix está listo para aplicar mañana con el token de git. El PAN real siempre estuvo en la respuesta del FO, en un campo que no estábamos leyendo.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6480"/>
          </w:tcPr>
          <w:p>
            <w:r>
              <w:t>Autenticación + FO + filtro de productos (2 tarjetas de 00235597)</w:t>
            </w:r>
          </w:p>
        </w:tc>
        <w:tc>
          <w:tcPr>
            <w:tcW w:type="dxa" w:w="4320"/>
          </w:tcPr>
          <w:p>
            <w:r>
              <w:t>✅ evidenciado contra ASO real</w:t>
            </w:r>
          </w:p>
        </w:tc>
      </w:tr>
      <w:tr>
        <w:tc>
          <w:tcPr>
            <w:tcW w:type="dxa" w:w="6480"/>
          </w:tcPr>
          <w:p>
            <w:r>
              <w:t>Listado y clasificación de movimientos</w:t>
            </w:r>
          </w:p>
        </w:tc>
        <w:tc>
          <w:tcPr>
            <w:tcW w:type="dxa" w:w="4320"/>
          </w:tcPr>
          <w:p>
            <w:r>
              <w:t>✅ evidenciado con la tarjeta de Jessica (PAN en claro)</w:t>
            </w:r>
          </w:p>
        </w:tc>
      </w:tr>
      <w:tr>
        <w:tc>
          <w:tcPr>
            <w:tcW w:type="dxa" w:w="6480"/>
          </w:tcPr>
          <w:p>
            <w:r>
              <w:t>Movimientos con clientes tokenizados</w:t>
            </w:r>
          </w:p>
        </w:tc>
        <w:tc>
          <w:tcPr>
            <w:tcW w:type="dxa" w:w="4320"/>
          </w:tcPr>
          <w:p>
            <w:r>
              <w:t>⛔ 400 — causa raíz identificada, fix de una línea pendiente de token</w:t>
            </w:r>
          </w:p>
        </w:tc>
      </w:tr>
      <w:tr>
        <w:tc>
          <w:tcPr>
            <w:tcW w:type="dxa" w:w="6480"/>
          </w:tcPr>
          <w:p>
            <w:r>
              <w:t>Subida de nivel (OOB)</w:t>
            </w:r>
          </w:p>
        </w:tc>
        <w:tc>
          <w:tcPr>
            <w:tcW w:type="dxa" w:w="4320"/>
          </w:tcPr>
          <w:p>
            <w:r>
              <w:t>⚠️ falta la cédula de 00235597 (#13) y el usuario enrolado (#14)</w:t>
            </w:r>
          </w:p>
        </w:tc>
      </w:tr>
    </w:tbl>
    <w:p>
      <w:pPr>
        <w:pStyle w:val="Heading1"/>
      </w:pPr>
      <w:r>
        <w:rPr>
          <w:color w:val="072C5C"/>
        </w:rPr>
        <w:t>2 · El hallazgo principal (H-1) y su causa raíz</w:t>
      </w:r>
    </w:p>
    <w:p>
      <w:r>
        <w:t>El financial-overview entrega por cada tarjeta DOS identificadores: un token estable en contracts[].id (p. ej. WcQzt… para la Visa Clásica •1106) y el PAN real en contracts[].formats[].number (4504…1106). El servicio de movimientos del ASO exige el PAN. Nuestro armado de productos toma contracts[].id — una asunción que venía del JSON anonimizado de las muestras («el valor ES el PAN») y que la data real desmintió. Resultado: enviábamos el token, el ASO respondía 400, y el bot le decía al cliente que no encontraba compras.</w:t>
      </w:r>
    </w:p>
    <w:p>
      <w:r>
        <w:t>El fix: leer el PAN de formats[].number (el código ya tiene una función vecina que lo hace bien), con el token como respaldo. Toca solo el servicio TXNR — una imagen. Desbloquea el flujo conversacional completo en DEV con 00235597 y, de regalo, revive la franquicia por BIN (hoy muerta porque derivaba marca sobre el token).</w:t>
      </w:r>
    </w:p>
    <w:p>
      <w:r>
        <w:rPr>
          <w:b/>
          <w:color w:val="8B1A1A"/>
        </w:rPr>
        <w:t>Punto para ratificar en la daily (PCI): con el fix, el PAN en claro viaja hacia operations y se persiste como card_id de la conversación — es lo que el ASO exige, pero conviene validarlo explícitamente contigo y con Nicolás.</w:t>
      </w:r>
    </w:p>
    <w:p>
      <w:pPr>
        <w:pStyle w:val="Heading1"/>
      </w:pPr>
      <w:r>
        <w:rPr>
          <w:color w:val="072C5C"/>
        </w:rPr>
        <w:t>3 · Los otros tres hallazgos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5328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4752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720"/>
          </w:tcPr>
          <w:p>
            <w:r>
              <w:t>H-2</w:t>
            </w:r>
          </w:p>
        </w:tc>
        <w:tc>
          <w:tcPr>
            <w:tcW w:type="dxa" w:w="5328"/>
          </w:tcPr>
          <w:p>
            <w:r>
              <w:t>El token de tarjeta es estable entre sesiones (el de la •2289 se repitió idéntico 26/08 → 30/08).</w:t>
            </w:r>
          </w:p>
        </w:tc>
        <w:tc>
          <w:tcPr>
            <w:tcW w:type="dxa" w:w="4752"/>
          </w:tcPr>
          <w:p>
            <w:r>
              <w:t>Buena noticia: el candado anti doble-bloqueo no necesita cambio de clave.</w:t>
            </w:r>
          </w:p>
        </w:tc>
      </w:tr>
      <w:tr>
        <w:tc>
          <w:tcPr>
            <w:tcW w:type="dxa" w:w="720"/>
          </w:tcPr>
          <w:p>
            <w:r>
              <w:t>H-3</w:t>
            </w:r>
          </w:p>
        </w:tc>
        <w:tc>
          <w:tcPr>
            <w:tcW w:type="dxa" w:w="5328"/>
          </w:tcPr>
          <w:p>
            <w:r>
              <w:t>Las trazas del granting en MinIO guardan usuario y contraseña del consumidor en claro; la traza completa del FO expone además PAN y nombre del titular.</w:t>
            </w:r>
          </w:p>
        </w:tc>
        <w:tc>
          <w:tcPr>
            <w:tcW w:type="dxa" w:w="4752"/>
          </w:tcPr>
          <w:p>
            <w:r>
              <w:t>No compartir JSON de trazas sin redactar. Tarea: enmascarar authenticationData y el body completo en el trazador.</w:t>
            </w:r>
          </w:p>
        </w:tc>
      </w:tr>
      <w:tr>
        <w:tc>
          <w:tcPr>
            <w:tcW w:type="dxa" w:w="720"/>
          </w:tcPr>
          <w:p>
            <w:r>
              <w:t>H-4</w:t>
            </w:r>
          </w:p>
        </w:tc>
        <w:tc>
          <w:tcPr>
            <w:tcW w:type="dxa" w:w="5328"/>
          </w:tcPr>
          <w:p>
            <w:r>
              <w:t>El script E2E por terminal no corrió en el bash del pod.</w:t>
            </w:r>
          </w:p>
        </w:tc>
        <w:tc>
          <w:tcPr>
            <w:tcW w:type="dxa" w:w="4752"/>
          </w:tcPr>
          <w:p>
            <w:r>
              <w:t>Sin impacto: se documentó la vía por el Swagger del agente (guía §2.0), que lo sustituye desde la UI.</w:t>
            </w:r>
          </w:p>
        </w:tc>
      </w:tr>
    </w:tbl>
    <w:p>
      <w:pPr>
        <w:pStyle w:val="Heading1"/>
      </w:pPr>
      <w:r>
        <w:rPr>
          <w:color w:val="072C5C"/>
        </w:rPr>
        <w:t>4 · ¿Qué se puede capturar en la UI mañana, incluso sin token?</w:t>
      </w:r>
    </w:p>
    <w:p>
      <w:r>
        <w:t>Sí es posible recolectar imágenes — nada de esto depende del token de git. Dos bloques:</w:t>
      </w:r>
    </w:p>
    <w:p>
      <w:pPr>
        <w:pStyle w:val="Heading2"/>
      </w:pPr>
      <w:r>
        <w:rPr>
          <w:color w:val="072C5C"/>
        </w:rPr>
        <w:t>4.1 · Con el despliegue actual (el «antes»)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</w:rPr>
              <w:t>Captura</w:t>
            </w:r>
          </w:p>
        </w:tc>
        <w:tc>
          <w:tcPr>
            <w:tcW w:type="dxa" w:w="2736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demuestra</w:t>
            </w:r>
          </w:p>
        </w:tc>
      </w:tr>
      <w:tr>
        <w:tc>
          <w:tcPr>
            <w:tcW w:type="dxa" w:w="3744"/>
          </w:tcPr>
          <w:p>
            <w:r>
              <w:t>Descripción de `intentos` en /subida-nivel/estado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4320"/>
          </w:tcPr>
          <w:p>
            <w:r>
              <w:t>versión del 30/08 corriendo (guía §0)</w:t>
            </w:r>
          </w:p>
        </w:tc>
      </w:tr>
      <w:tr>
        <w:tc>
          <w:tcPr>
            <w:tcW w:type="dxa" w:w="3744"/>
          </w:tcPr>
          <w:p>
            <w:r>
              <w:t>debug/env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4320"/>
          </w:tcPr>
          <w:p>
            <w:r>
              <w:t>config real: ASO real, fuente fo</w:t>
            </w:r>
          </w:p>
        </w:tc>
      </w:tr>
      <w:tr>
        <w:tc>
          <w:tcPr>
            <w:tcW w:type="dxa" w:w="3744"/>
          </w:tcPr>
          <w:p>
            <w:r>
              <w:t>productos-activos de 00235597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4320"/>
          </w:tcPr>
          <w:p>
            <w:r>
              <w:t>FO + filtro OK; si el token •2289 repite rqNPg…, también H-2</w:t>
            </w:r>
          </w:p>
        </w:tc>
      </w:tr>
      <w:tr>
        <w:tc>
          <w:tcPr>
            <w:tcW w:type="dxa" w:w="3744"/>
          </w:tcPr>
          <w:p>
            <w:r>
              <w:t>movimientos con el token → error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4320"/>
          </w:tcPr>
          <w:p>
            <w:r>
              <w:t>el «antes» de H-1 (con su traza 400 en MinIO)</w:t>
            </w:r>
          </w:p>
        </w:tc>
      </w:tr>
      <w:tr>
        <w:tc>
          <w:tcPr>
            <w:tcW w:type="dxa" w:w="3744"/>
          </w:tcPr>
          <w:p>
            <w:r>
              <w:t>movimientos + detalle con el PAN de Jessica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4320"/>
          </w:tcPr>
          <w:p>
            <w:r>
              <w:t>listado con comercio + clasificación contra data real</w:t>
            </w:r>
          </w:p>
        </w:tc>
      </w:tr>
      <w:tr>
        <w:tc>
          <w:tcPr>
            <w:tcW w:type="dxa" w:w="3744"/>
          </w:tcPr>
          <w:p>
            <w:r>
              <w:t>Conversación completa hasta «no encontramos compras»</w:t>
            </w:r>
          </w:p>
        </w:tc>
        <w:tc>
          <w:tcPr>
            <w:tcW w:type="dxa" w:w="2736"/>
          </w:tcPr>
          <w:p>
            <w:r>
              <w:t>Swagger del AGENTE (guía §2.0)</w:t>
            </w:r>
          </w:p>
        </w:tc>
        <w:tc>
          <w:tcPr>
            <w:tcW w:type="dxa" w:w="4320"/>
          </w:tcPr>
          <w:p>
            <w:r>
              <w:t>H-1 visto por el cliente — el «antes» del E2E</w:t>
            </w:r>
          </w:p>
        </w:tc>
      </w:tr>
      <w:tr>
        <w:tc>
          <w:tcPr>
            <w:tcW w:type="dxa" w:w="3744"/>
          </w:tcPr>
          <w:p>
            <w:r>
              <w:t>Traza financial_overview outcome ok</w:t>
            </w:r>
          </w:p>
        </w:tc>
        <w:tc>
          <w:tcPr>
            <w:tcW w:type="dxa" w:w="2736"/>
          </w:tcPr>
          <w:p>
            <w:r>
              <w:t>MinIO</w:t>
            </w:r>
          </w:p>
        </w:tc>
        <w:tc>
          <w:tcPr>
            <w:tcW w:type="dxa" w:w="4320"/>
          </w:tcPr>
          <w:p>
            <w:r>
              <w:t>trazabilidad extremo a extremo</w:t>
            </w:r>
          </w:p>
        </w:tc>
      </w:tr>
    </w:tbl>
    <w:p>
      <w:pPr>
        <w:pStyle w:val="Heading2"/>
      </w:pPr>
      <w:r>
        <w:rPr>
          <w:color w:val="072C5C"/>
        </w:rPr>
        <w:t>4.2 · Tras el fix y redeploy (el «después», mismo guion)</w:t>
      </w:r>
    </w:p>
    <w:p>
      <w:r>
        <w:t>Las MISMAS capturas de movimientos y del E2E conversacional, ahora con listado real y flujo avanzando — la pareja antes/después es la evidencia más contundente del informe final. El guion turno a turno está en la guía §2.0 y §2.3.</w:t>
      </w:r>
    </w:p>
    <w:p>
      <w:pPr>
        <w:pStyle w:val="Heading1"/>
      </w:pPr>
      <w:r>
        <w:rPr>
          <w:color w:val="072C5C"/>
        </w:rPr>
        <w:t>5 · Plan de acción — lunes 01/09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Cuándo</w:t>
            </w:r>
          </w:p>
        </w:tc>
        <w:tc>
          <w:tcPr>
            <w:tcW w:type="dxa" w:w="6912"/>
          </w:tcPr>
          <w:p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Necesita</w:t>
            </w:r>
          </w:p>
        </w:tc>
      </w:tr>
      <w:tr>
        <w:tc>
          <w:tcPr>
            <w:tcW w:type="dxa" w:w="1728"/>
          </w:tcPr>
          <w:p>
            <w:r>
              <w:t>Daily (mañana)</w:t>
            </w:r>
          </w:p>
        </w:tc>
        <w:tc>
          <w:tcPr>
            <w:tcW w:type="dxa" w:w="6912"/>
          </w:tcPr>
          <w:p>
            <w:r>
              <w:t>1) Pedir el token del día. 2) Ratificar el uso del PAN en claro (PCI). 3) Reiterar la cédula de 00235597 (#13) y el usuario enrolado (#14). 4) A Nicolás: confirmar que operations solo acepta PAN (la evidencia ya lo dice) y avisar de H-3.</w:t>
            </w:r>
          </w:p>
        </w:tc>
        <w:tc>
          <w:tcPr>
            <w:tcW w:type="dxa" w:w="2160"/>
          </w:tcPr>
          <w:p>
            <w:r>
              <w:t>10 minutos de la daily</w:t>
            </w:r>
          </w:p>
        </w:tc>
      </w:tr>
      <w:tr>
        <w:tc>
          <w:tcPr>
            <w:tcW w:type="dxa" w:w="1728"/>
          </w:tcPr>
          <w:p>
            <w:r>
              <w:t>Con el token</w:t>
            </w:r>
          </w:p>
        </w:tc>
        <w:tc>
          <w:tcPr>
            <w:tcW w:type="dxa" w:w="6912"/>
          </w:tcPr>
          <w:p>
            <w:r>
              <w:t>5) Aplicar el fix del PAN en productos_desde_fo + batería completa + E2E local (protocolo de siempre). 6) PR + merge a dev. 7) Reconstruir SOLO la imagen del servicio TXNR y redesplegar. 8) Subir los docs actualizados (guía v9, decisiones, este informe).</w:t>
            </w:r>
          </w:p>
        </w:tc>
        <w:tc>
          <w:tcPr>
            <w:tcW w:type="dxa" w:w="2160"/>
          </w:tcPr>
          <w:p>
            <w:r>
              <w:t>token de git + OK del punto 2</w:t>
            </w:r>
          </w:p>
        </w:tc>
      </w:tr>
      <w:tr>
        <w:tc>
          <w:tcPr>
            <w:tcW w:type="dxa" w:w="1728"/>
          </w:tcPr>
          <w:p>
            <w:r>
              <w:t>Tras el redeploy</w:t>
            </w:r>
          </w:p>
        </w:tc>
        <w:tc>
          <w:tcPr>
            <w:tcW w:type="dxa" w:w="6912"/>
          </w:tcPr>
          <w:p>
            <w:r>
              <w:t>9) Capturas del «después» (4.2). 10) Si llega la cédula: evidencia 5 (subida-nivel con su etapa). 11) Actualizar el Word de evidencias con antes/después.</w:t>
            </w:r>
          </w:p>
        </w:tc>
        <w:tc>
          <w:tcPr>
            <w:tcW w:type="dxa" w:w="2160"/>
          </w:tcPr>
          <w:p>
            <w:r>
              <w:t>puntos 5-7 hechos</w:t>
            </w:r>
          </w:p>
        </w:tc>
      </w:tr>
    </w:tbl>
    <w:p>
      <w:r>
        <w:rPr>
          <w:color w:val="595959"/>
          <w:sz w:val="20"/>
        </w:rPr>
        <w:t>Si el punto 2 (PAN en claro) necesitara más vueltas, el resto del plan no se frena: el fix puede quedar listo en rama y las capturas del «antes» se toman igual.</w:t>
      </w:r>
    </w:p>
    <w:p>
      <w:pPr>
        <w:pStyle w:val="Heading1"/>
      </w:pPr>
      <w:r>
        <w:rPr>
          <w:color w:val="072C5C"/>
        </w:rPr>
        <w:t>6 · Documentos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048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752"/>
          </w:tcPr>
          <w:p>
            <w:r>
              <w:t>docs/GUIA_EVIDENCIAS_SWAGGER_DEV.md (v9)</w:t>
            </w:r>
          </w:p>
        </w:tc>
        <w:tc>
          <w:tcPr>
            <w:tcW w:type="dxa" w:w="6048"/>
          </w:tcPr>
          <w:p>
            <w:r>
              <w:t>el paso a paso de cada captura, con estado ✅/⚠️/⛔ y la vía UI sin terminal</w:t>
            </w:r>
          </w:p>
        </w:tc>
      </w:tr>
      <w:tr>
        <w:tc>
          <w:tcPr>
            <w:tcW w:type="dxa" w:w="4752"/>
          </w:tcPr>
          <w:p>
            <w:r>
              <w:t>docs/DECISIONES_PENDIENTES_TXNR.md</w:t>
            </w:r>
          </w:p>
        </w:tc>
        <w:tc>
          <w:tcPr>
            <w:tcW w:type="dxa" w:w="6048"/>
          </w:tcPr>
          <w:p>
            <w:r>
              <w:t>los pendientes numerados citados aquí (#2, #13, #14, #16, #17, H-3)</w:t>
            </w:r>
          </w:p>
        </w:tc>
      </w:tr>
      <w:tr>
        <w:tc>
          <w:tcPr>
            <w:tcW w:type="dxa" w:w="4752"/>
          </w:tcPr>
          <w:p>
            <w:r>
              <w:t>docs/report/Autorizacion_Challenge_Push_TXNR_v2.docx</w:t>
            </w:r>
          </w:p>
        </w:tc>
        <w:tc>
          <w:tcPr>
            <w:tcW w:type="dxa" w:w="6048"/>
          </w:tcPr>
          <w:p>
            <w:r>
              <w:t>el detalle técnico del OOB (PRs #90-#92) para Luis</w:t>
            </w:r>
          </w:p>
        </w:tc>
      </w:tr>
      <w:tr>
        <w:tc>
          <w:tcPr>
            <w:tcW w:type="dxa" w:w="4752"/>
          </w:tcPr>
          <w:p>
            <w:r>
              <w:t>TRX_No_Reconocida/ (zip + Word)</w:t>
            </w:r>
          </w:p>
        </w:tc>
        <w:tc>
          <w:tcPr>
            <w:tcW w:type="dxa" w:w="6048"/>
          </w:tcPr>
          <w:p>
            <w:r>
              <w:t>la evidencia cruda del 30/08 — ojo con H-3 antes de reenviar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