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HIRING INTAKE &amp; SCREENING KIT</w:t>
      </w:r>
    </w:p>
    <w:p>
      <w:pPr>
        <w:spacing w:after="240"/>
      </w:pPr>
      <w:r>
        <w:rPr>
          <w:rFonts w:ascii="Arial" w:cs="Arial" w:eastAsia="Arial" w:hAnsi="Arial"/>
          <w:i/>
          <w:iCs/>
          <w:color w:val="595959"/>
          <w:sz w:val="18"/>
          <w:szCs w:val="18"/>
        </w:rPr>
        <w:t xml:space="preserve">Phases 1 and 2 of the hr-talent-coordinator agent, in fillable form. Blue bracketed text is an input.</w:t>
      </w:r>
    </w:p>
    <w:p>
      <w:pPr>
        <w:pStyle w:val="Heading1"/>
        <w:spacing w:after="160" w:before="320"/>
      </w:pPr>
      <w:r>
        <w:rPr>
          <w:rFonts w:ascii="Arial" w:cs="Arial" w:eastAsia="Arial" w:hAnsi="Arial"/>
          <w:b/>
          <w:bCs/>
          <w:color w:val="1F3864"/>
          <w:sz w:val="28"/>
          <w:szCs w:val="28"/>
        </w:rPr>
        <w:t xml:space="preserve">1. Hiring-need intake brief</w:t>
      </w:r>
    </w:p>
    <w:p>
      <w:pPr>
        <w:spacing w:after="120"/>
      </w:pPr>
      <w:r>
        <w:rPr>
          <w:rFonts w:ascii="Arial" w:cs="Arial" w:eastAsia="Arial" w:hAnsi="Arial"/>
          <w:i/>
          <w:iCs/>
          <w:color w:val="595959"/>
          <w:sz w:val="18"/>
          <w:szCs w:val="18"/>
        </w:rPr>
        <w:t xml:space="preserve">Run this with the hiring manager before the requisition is posted. A one-line request is not an intake.</w:t>
      </w:r>
    </w:p>
    <w:p>
      <w:pPr>
        <w:pStyle w:val="Heading2"/>
        <w:spacing w:after="120" w:before="260"/>
      </w:pPr>
      <w:r>
        <w:rPr>
          <w:rFonts w:ascii="Arial" w:cs="Arial" w:eastAsia="Arial" w:hAnsi="Arial"/>
          <w:b/>
          <w:bCs/>
          <w:color w:val="1F3864"/>
          <w:sz w:val="23"/>
          <w:szCs w:val="23"/>
        </w:rPr>
        <w:t xml:space="preserve">1.1 Role identity</w:t>
      </w:r>
    </w:p>
    <w:p>
      <w:pPr>
        <w:spacing w:after="100"/>
      </w:pPr>
      <w:r>
        <w:rPr>
          <w:rFonts w:ascii="Arial" w:cs="Arial" w:eastAsia="Arial" w:hAnsi="Arial"/>
          <w:b/>
          <w:bCs/>
          <w:sz w:val="20"/>
          <w:szCs w:val="20"/>
        </w:rPr>
        <w:t xml:space="preserve">Requisition ID:  </w:t>
      </w:r>
      <w:r>
        <w:rPr>
          <w:rFonts w:ascii="Arial" w:cs="Arial" w:eastAsia="Arial" w:hAnsi="Arial"/>
          <w:color w:val="0000FF"/>
          <w:sz w:val="20"/>
          <w:szCs w:val="20"/>
        </w:rPr>
        <w:t xml:space="preserve">[ REQ-#### ]</w:t>
      </w:r>
    </w:p>
    <w:p>
      <w:pPr>
        <w:spacing w:after="100"/>
      </w:pPr>
      <w:r>
        <w:rPr>
          <w:rFonts w:ascii="Arial" w:cs="Arial" w:eastAsia="Arial" w:hAnsi="Arial"/>
          <w:b/>
          <w:bCs/>
          <w:sz w:val="20"/>
          <w:szCs w:val="20"/>
        </w:rPr>
        <w:t xml:space="preserve">Job title / level: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Department: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Location / work model:  </w:t>
      </w:r>
      <w:r>
        <w:rPr>
          <w:rFonts w:ascii="Arial" w:cs="Arial" w:eastAsia="Arial" w:hAnsi="Arial"/>
          <w:color w:val="0000FF"/>
          <w:sz w:val="20"/>
          <w:szCs w:val="20"/>
        </w:rPr>
        <w:t xml:space="preserve">[ site, or remote / hybrid / onsite ]</w:t>
      </w:r>
    </w:p>
    <w:p>
      <w:pPr>
        <w:spacing w:after="100"/>
      </w:pPr>
      <w:r>
        <w:rPr>
          <w:rFonts w:ascii="Arial" w:cs="Arial" w:eastAsia="Arial" w:hAnsi="Arial"/>
          <w:b/>
          <w:bCs/>
          <w:sz w:val="20"/>
          <w:szCs w:val="20"/>
        </w:rPr>
        <w:t xml:space="preserve">Reports to:  </w:t>
      </w:r>
      <w:r>
        <w:rPr>
          <w:rFonts w:ascii="Arial" w:cs="Arial" w:eastAsia="Arial" w:hAnsi="Arial"/>
          <w:color w:val="0000FF"/>
          <w:sz w:val="20"/>
          <w:szCs w:val="20"/>
        </w:rPr>
        <w:t xml:space="preserve">[ name, title ]</w:t>
      </w:r>
    </w:p>
    <w:p>
      <w:pPr>
        <w:spacing w:after="100"/>
      </w:pPr>
      <w:r>
        <w:rPr>
          <w:rFonts w:ascii="Arial" w:cs="Arial" w:eastAsia="Arial" w:hAnsi="Arial"/>
          <w:b/>
          <w:bCs/>
          <w:sz w:val="20"/>
          <w:szCs w:val="20"/>
        </w:rPr>
        <w:t xml:space="preserve">Team size and key internal partners:  </w:t>
      </w:r>
      <w:r>
        <w:rPr>
          <w:rFonts w:ascii="Arial" w:cs="Arial" w:eastAsia="Arial" w:hAnsi="Arial"/>
          <w:color w:val="0000FF"/>
          <w:sz w:val="20"/>
          <w:szCs w:val="20"/>
        </w:rPr>
        <w:t xml:space="preserve">[  ]</w:t>
      </w:r>
    </w:p>
    <w:p>
      <w:pPr>
        <w:pStyle w:val="Heading2"/>
        <w:spacing w:after="120" w:before="260"/>
      </w:pPr>
      <w:r>
        <w:rPr>
          <w:rFonts w:ascii="Arial" w:cs="Arial" w:eastAsia="Arial" w:hAnsi="Arial"/>
          <w:b/>
          <w:bCs/>
          <w:color w:val="1F3864"/>
          <w:sz w:val="23"/>
          <w:szCs w:val="23"/>
        </w:rPr>
        <w:t xml:space="preserve">1.2 Basis for the role</w:t>
      </w:r>
    </w:p>
    <w:p>
      <w:pPr>
        <w:spacing w:after="100"/>
      </w:pPr>
      <w:r>
        <w:rPr>
          <w:rFonts w:ascii="Arial" w:cs="Arial" w:eastAsia="Arial" w:hAnsi="Arial"/>
          <w:b/>
          <w:bCs/>
          <w:sz w:val="20"/>
          <w:szCs w:val="20"/>
        </w:rPr>
        <w:t xml:space="preserve">Reason:  </w:t>
      </w:r>
      <w:r>
        <w:rPr>
          <w:rFonts w:ascii="Arial" w:cs="Arial" w:eastAsia="Arial" w:hAnsi="Arial"/>
          <w:color w:val="0000FF"/>
          <w:sz w:val="20"/>
          <w:szCs w:val="20"/>
        </w:rPr>
        <w:t xml:space="preserve">[ new headcount / backfill / seasonal / conversion ]</w:t>
      </w:r>
    </w:p>
    <w:p>
      <w:pPr>
        <w:spacing w:after="100"/>
      </w:pPr>
      <w:r>
        <w:rPr>
          <w:rFonts w:ascii="Arial" w:cs="Arial" w:eastAsia="Arial" w:hAnsi="Arial"/>
          <w:b/>
          <w:bCs/>
          <w:sz w:val="20"/>
          <w:szCs w:val="20"/>
        </w:rPr>
        <w:t xml:space="preserve">Budget &amp; headcount approval status: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Employment type:  </w:t>
      </w:r>
      <w:r>
        <w:rPr>
          <w:rFonts w:ascii="Arial" w:cs="Arial" w:eastAsia="Arial" w:hAnsi="Arial"/>
          <w:color w:val="0000FF"/>
          <w:sz w:val="20"/>
          <w:szCs w:val="20"/>
        </w:rPr>
        <w:t xml:space="preserve">[ FT / PT / temp / contract ]</w:t>
      </w:r>
    </w:p>
    <w:p>
      <w:pPr>
        <w:spacing w:after="100"/>
      </w:pPr>
      <w:r>
        <w:rPr>
          <w:rFonts w:ascii="Arial" w:cs="Arial" w:eastAsia="Arial" w:hAnsi="Arial"/>
          <w:b/>
          <w:bCs/>
          <w:sz w:val="20"/>
          <w:szCs w:val="20"/>
        </w:rPr>
        <w:t xml:space="preserve">Classification:  </w:t>
      </w:r>
      <w:r>
        <w:rPr>
          <w:rFonts w:ascii="Arial" w:cs="Arial" w:eastAsia="Arial" w:hAnsi="Arial"/>
          <w:color w:val="0000FF"/>
          <w:sz w:val="20"/>
          <w:szCs w:val="20"/>
        </w:rPr>
        <w:t xml:space="preserve">[ exempt / non-exempt ]</w:t>
      </w:r>
    </w:p>
    <w:p>
      <w:pPr>
        <w:spacing w:after="100"/>
      </w:pPr>
      <w:r>
        <w:rPr>
          <w:rFonts w:ascii="Arial" w:cs="Arial" w:eastAsia="Arial" w:hAnsi="Arial"/>
          <w:b/>
          <w:bCs/>
          <w:sz w:val="20"/>
          <w:szCs w:val="20"/>
        </w:rPr>
        <w:t xml:space="preserve">Shift pattern, weekend &amp; holiday expectations: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Physical requirements (store / warehouse):  </w:t>
      </w:r>
      <w:r>
        <w:rPr>
          <w:rFonts w:ascii="Arial" w:cs="Arial" w:eastAsia="Arial" w:hAnsi="Arial"/>
          <w:color w:val="0000FF"/>
          <w:sz w:val="20"/>
          <w:szCs w:val="20"/>
        </w:rPr>
        <w:t xml:space="preserve">[  ]</w:t>
      </w:r>
    </w:p>
    <w:p>
      <w:pPr>
        <w:pStyle w:val="Heading2"/>
        <w:spacing w:after="120" w:before="260"/>
      </w:pPr>
      <w:r>
        <w:rPr>
          <w:rFonts w:ascii="Arial" w:cs="Arial" w:eastAsia="Arial" w:hAnsi="Arial"/>
          <w:b/>
          <w:bCs/>
          <w:color w:val="1F3864"/>
          <w:sz w:val="23"/>
          <w:szCs w:val="23"/>
        </w:rPr>
        <w:t xml:space="preserve">1.3 Compensation</w:t>
      </w:r>
    </w:p>
    <w:p>
      <w:pPr>
        <w:spacing w:after="100"/>
      </w:pPr>
      <w:r>
        <w:rPr>
          <w:rFonts w:ascii="Arial" w:cs="Arial" w:eastAsia="Arial" w:hAnsi="Arial"/>
          <w:b/>
          <w:bCs/>
          <w:sz w:val="20"/>
          <w:szCs w:val="20"/>
        </w:rPr>
        <w:t xml:space="preserve">Approved range:  </w:t>
      </w:r>
      <w:r>
        <w:rPr>
          <w:rFonts w:ascii="Arial" w:cs="Arial" w:eastAsia="Arial" w:hAnsi="Arial"/>
          <w:color w:val="0000FF"/>
          <w:sz w:val="20"/>
          <w:szCs w:val="20"/>
        </w:rPr>
        <w:t xml:space="preserve">[ min – max ]</w:t>
      </w:r>
    </w:p>
    <w:p>
      <w:pPr>
        <w:spacing w:after="100"/>
      </w:pPr>
      <w:r>
        <w:rPr>
          <w:rFonts w:ascii="Arial" w:cs="Arial" w:eastAsia="Arial" w:hAnsi="Arial"/>
          <w:b/>
          <w:bCs/>
          <w:sz w:val="20"/>
          <w:szCs w:val="20"/>
        </w:rPr>
        <w:t xml:space="preserve">Bonus / premium / differential: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Benefits eligibility:  </w:t>
      </w:r>
      <w:r>
        <w:rPr>
          <w:rFonts w:ascii="Arial" w:cs="Arial" w:eastAsia="Arial" w:hAnsi="Arial"/>
          <w:color w:val="0000FF"/>
          <w:sz w:val="20"/>
          <w:szCs w:val="20"/>
        </w:rPr>
        <w:t xml:space="preserve">[  ]</w:t>
      </w:r>
    </w:p>
    <w:p>
      <w:pPr>
        <w:spacing w:after="140" w:before="100"/>
      </w:pPr>
      <w:r>
        <w:rPr>
          <w:rFonts w:ascii="Arial" w:cs="Arial" w:eastAsia="Arial" w:hAnsi="Arial"/>
          <w:b/>
          <w:bCs/>
          <w:color w:val="C00000"/>
          <w:sz w:val="18"/>
          <w:szCs w:val="18"/>
        </w:rPr>
        <w:t xml:space="preserve">⚠  Approved ranges belong in the job ad where pay transparency applies. Candidate-level compensation stays on the Restricted tab of the toolkit.</w:t>
      </w:r>
    </w:p>
    <w:p>
      <w:pPr>
        <w:pStyle w:val="Heading2"/>
        <w:spacing w:after="120" w:before="260"/>
      </w:pPr>
      <w:r>
        <w:rPr>
          <w:rFonts w:ascii="Arial" w:cs="Arial" w:eastAsia="Arial" w:hAnsi="Arial"/>
          <w:b/>
          <w:bCs/>
          <w:color w:val="1F3864"/>
          <w:sz w:val="23"/>
          <w:szCs w:val="23"/>
        </w:rPr>
        <w:t xml:space="preserve">1.4 Requirements — each one testable and job-related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2000"/>
      </w:tblGrid>
      <w:tr>
        <w:tc>
          <w:tcPr>
            <w:tcW w:type="dxa" w:w="600"/>
            <w:shd w:fill="1F3864"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3800"/>
            <w:shd w:fill="1F3864" w:val="clear"/>
            <w:tcMar>
              <w:top w:type="dxa" w:w="70"/>
              <w:left w:type="dxa" w:w="100"/>
              <w:bottom w:type="dxa" w:w="70"/>
              <w:right w:type="dxa" w:w="100"/>
            </w:tcMar>
          </w:tcPr>
          <w:p>
            <w:r>
              <w:rPr>
                <w:rFonts w:ascii="Arial" w:cs="Arial" w:eastAsia="Arial" w:hAnsi="Arial"/>
                <w:b/>
                <w:bCs/>
                <w:color w:val="FFFFFF"/>
                <w:sz w:val="18"/>
                <w:szCs w:val="18"/>
              </w:rPr>
              <w:t xml:space="preserve">Must-have</w:t>
            </w:r>
          </w:p>
        </w:tc>
        <w:tc>
          <w:tcPr>
            <w:tcW w:type="dxa" w:w="2800"/>
            <w:shd w:fill="1F3864" w:val="clear"/>
            <w:tcMar>
              <w:top w:type="dxa" w:w="70"/>
              <w:left w:type="dxa" w:w="100"/>
              <w:bottom w:type="dxa" w:w="70"/>
              <w:right w:type="dxa" w:w="100"/>
            </w:tcMar>
          </w:tcPr>
          <w:p>
            <w:r>
              <w:rPr>
                <w:rFonts w:ascii="Arial" w:cs="Arial" w:eastAsia="Arial" w:hAnsi="Arial"/>
                <w:b/>
                <w:bCs/>
                <w:color w:val="FFFFFF"/>
                <w:sz w:val="18"/>
                <w:szCs w:val="18"/>
              </w:rPr>
              <w:t xml:space="preserve">How it will be tested</w:t>
            </w:r>
          </w:p>
        </w:tc>
        <w:tc>
          <w:tcPr>
            <w:tcW w:type="dxa" w:w="2000"/>
            <w:shd w:fill="1F3864" w:val="clear"/>
            <w:tcMar>
              <w:top w:type="dxa" w:w="70"/>
              <w:left w:type="dxa" w:w="100"/>
              <w:bottom w:type="dxa" w:w="70"/>
              <w:right w:type="dxa" w:w="100"/>
            </w:tcMar>
          </w:tcPr>
          <w:p>
            <w:r>
              <w:rPr>
                <w:rFonts w:ascii="Arial" w:cs="Arial" w:eastAsia="Arial" w:hAnsi="Arial"/>
                <w:b/>
                <w:bCs/>
                <w:color w:val="FFFFFF"/>
                <w:sz w:val="18"/>
                <w:szCs w:val="18"/>
              </w:rPr>
              <w:t xml:space="preserve">Stage that owns it</w:t>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3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3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3</w:t>
            </w:r>
          </w:p>
        </w:tc>
        <w:tc>
          <w:tcPr>
            <w:tcW w:type="dxa" w:w="3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4</w:t>
            </w:r>
          </w:p>
        </w:tc>
        <w:tc>
          <w:tcPr>
            <w:tcW w:type="dxa" w:w="3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5</w:t>
            </w:r>
          </w:p>
        </w:tc>
        <w:tc>
          <w:tcPr>
            <w:tcW w:type="dxa" w:w="3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8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bl>
    <w:p>
      <w:pPr>
        <w:spacing w:after="120"/>
      </w:pPr>
      <w:r>
        <w:rPr>
          <w:rFonts w:ascii="Arial" w:cs="Arial" w:eastAsia="Arial" w:hAnsi="Arial"/>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000"/>
      </w:tblGrid>
      <w:tr>
        <w:tc>
          <w:tcPr>
            <w:tcW w:type="dxa" w:w="600"/>
            <w:shd w:fill="1F3864"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4600"/>
            <w:shd w:fill="1F3864" w:val="clear"/>
            <w:tcMar>
              <w:top w:type="dxa" w:w="70"/>
              <w:left w:type="dxa" w:w="100"/>
              <w:bottom w:type="dxa" w:w="70"/>
              <w:right w:type="dxa" w:w="100"/>
            </w:tcMar>
          </w:tcPr>
          <w:p>
            <w:r>
              <w:rPr>
                <w:rFonts w:ascii="Arial" w:cs="Arial" w:eastAsia="Arial" w:hAnsi="Arial"/>
                <w:b/>
                <w:bCs/>
                <w:color w:val="FFFFFF"/>
                <w:sz w:val="18"/>
                <w:szCs w:val="18"/>
              </w:rPr>
              <w:t xml:space="preserve">Nice-to-have</w:t>
            </w:r>
          </w:p>
        </w:tc>
        <w:tc>
          <w:tcPr>
            <w:tcW w:type="dxa" w:w="4000"/>
            <w:shd w:fill="1F3864" w:val="clear"/>
            <w:tcMar>
              <w:top w:type="dxa" w:w="70"/>
              <w:left w:type="dxa" w:w="100"/>
              <w:bottom w:type="dxa" w:w="70"/>
              <w:right w:type="dxa" w:w="100"/>
            </w:tcMar>
          </w:tcPr>
          <w:p>
            <w:r>
              <w:rPr>
                <w:rFonts w:ascii="Arial" w:cs="Arial" w:eastAsia="Arial" w:hAnsi="Arial"/>
                <w:b/>
                <w:bCs/>
                <w:color w:val="FFFFFF"/>
                <w:sz w:val="18"/>
                <w:szCs w:val="18"/>
              </w:rPr>
              <w:t xml:space="preserve">Why it helps</w:t>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46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4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46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4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600"/>
            <w:tcMar>
              <w:top w:type="dxa" w:w="70"/>
              <w:left w:type="dxa" w:w="100"/>
              <w:bottom w:type="dxa" w:w="70"/>
              <w:right w:type="dxa" w:w="100"/>
            </w:tcMar>
          </w:tcPr>
          <w:p>
            <w:r>
              <w:rPr>
                <w:rFonts w:ascii="Arial" w:cs="Arial" w:eastAsia="Arial" w:hAnsi="Arial"/>
                <w:b w:val="false"/>
                <w:bCs w:val="false"/>
                <w:color w:val="000000"/>
                <w:sz w:val="18"/>
                <w:szCs w:val="18"/>
              </w:rPr>
              <w:t xml:space="preserve">3</w:t>
            </w:r>
          </w:p>
        </w:tc>
        <w:tc>
          <w:tcPr>
            <w:tcW w:type="dxa" w:w="46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4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bl>
    <w:p>
      <w:pPr>
        <w:spacing w:after="140" w:before="100"/>
      </w:pPr>
      <w:r>
        <w:rPr>
          <w:rFonts w:ascii="Arial" w:cs="Arial" w:eastAsia="Arial" w:hAnsi="Arial"/>
          <w:b/>
          <w:bCs/>
          <w:color w:val="C00000"/>
          <w:sz w:val="18"/>
          <w:szCs w:val="18"/>
        </w:rPr>
        <w:t xml:space="preserve">⚠  Never accept a criterion tied to age, graduation year, gender, family status, national origin, religion, disability, or a photo. If a manager asks for one, replace it with the underlying job requirement.</w:t>
      </w:r>
    </w:p>
    <w:p>
      <w:pPr>
        <w:pStyle w:val="Heading2"/>
        <w:spacing w:after="120" w:before="260"/>
      </w:pPr>
      <w:r>
        <w:rPr>
          <w:rFonts w:ascii="Arial" w:cs="Arial" w:eastAsia="Arial" w:hAnsi="Arial"/>
          <w:b/>
          <w:bCs/>
          <w:color w:val="1F3864"/>
          <w:sz w:val="23"/>
          <w:szCs w:val="23"/>
        </w:rPr>
        <w:t xml:space="preserve">1.5 Interview loop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2700"/>
      </w:tblGrid>
      <w:tr>
        <w:tc>
          <w:tcPr>
            <w:tcW w:type="dxa" w:w="1900"/>
            <w:shd w:fill="1F3864" w:val="clear"/>
            <w:tcMar>
              <w:top w:type="dxa" w:w="70"/>
              <w:left w:type="dxa" w:w="100"/>
              <w:bottom w:type="dxa" w:w="70"/>
              <w:right w:type="dxa" w:w="100"/>
            </w:tcMar>
          </w:tcPr>
          <w:p>
            <w:r>
              <w:rPr>
                <w:rFonts w:ascii="Arial" w:cs="Arial" w:eastAsia="Arial" w:hAnsi="Arial"/>
                <w:b/>
                <w:bCs/>
                <w:color w:val="FFFFFF"/>
                <w:sz w:val="18"/>
                <w:szCs w:val="18"/>
              </w:rPr>
              <w:t xml:space="preserve">Stage</w:t>
            </w:r>
          </w:p>
        </w:tc>
        <w:tc>
          <w:tcPr>
            <w:tcW w:type="dxa" w:w="2400"/>
            <w:shd w:fill="1F3864" w:val="clear"/>
            <w:tcMar>
              <w:top w:type="dxa" w:w="70"/>
              <w:left w:type="dxa" w:w="100"/>
              <w:bottom w:type="dxa" w:w="70"/>
              <w:right w:type="dxa" w:w="100"/>
            </w:tcMar>
          </w:tcPr>
          <w:p>
            <w:r>
              <w:rPr>
                <w:rFonts w:ascii="Arial" w:cs="Arial" w:eastAsia="Arial" w:hAnsi="Arial"/>
                <w:b/>
                <w:bCs/>
                <w:color w:val="FFFFFF"/>
                <w:sz w:val="18"/>
                <w:szCs w:val="18"/>
              </w:rPr>
              <w:t xml:space="preserve">Format &amp; duration</w:t>
            </w:r>
          </w:p>
        </w:tc>
        <w:tc>
          <w:tcPr>
            <w:tcW w:type="dxa" w:w="2200"/>
            <w:shd w:fill="1F3864" w:val="clear"/>
            <w:tcMar>
              <w:top w:type="dxa" w:w="70"/>
              <w:left w:type="dxa" w:w="100"/>
              <w:bottom w:type="dxa" w:w="70"/>
              <w:right w:type="dxa" w:w="100"/>
            </w:tcMar>
          </w:tcPr>
          <w:p>
            <w:r>
              <w:rPr>
                <w:rFonts w:ascii="Arial" w:cs="Arial" w:eastAsia="Arial" w:hAnsi="Arial"/>
                <w:b/>
                <w:bCs/>
                <w:color w:val="FFFFFF"/>
                <w:sz w:val="18"/>
                <w:szCs w:val="18"/>
              </w:rPr>
              <w:t xml:space="preserve">Interviewer</w:t>
            </w:r>
          </w:p>
        </w:tc>
        <w:tc>
          <w:tcPr>
            <w:tcW w:type="dxa" w:w="2700"/>
            <w:shd w:fill="1F3864" w:val="clear"/>
            <w:tcMar>
              <w:top w:type="dxa" w:w="70"/>
              <w:left w:type="dxa" w:w="100"/>
              <w:bottom w:type="dxa" w:w="70"/>
              <w:right w:type="dxa" w:w="100"/>
            </w:tcMar>
          </w:tcPr>
          <w:p>
            <w:r>
              <w:rPr>
                <w:rFonts w:ascii="Arial" w:cs="Arial" w:eastAsia="Arial" w:hAnsi="Arial"/>
                <w:b/>
                <w:bCs/>
                <w:color w:val="FFFFFF"/>
                <w:sz w:val="18"/>
                <w:szCs w:val="18"/>
              </w:rPr>
              <w:t xml:space="preserve">Competency this stage owns</w:t>
            </w:r>
          </w:p>
        </w:tc>
      </w:tr>
      <w:tr>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Phone screen</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20–30 min, coordinator</w:t>
            </w:r>
          </w:p>
        </w:tc>
        <w:tc>
          <w:tcPr>
            <w:tcW w:type="dxa" w:w="2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7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Hiring manager</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45 min</w:t>
            </w:r>
          </w:p>
        </w:tc>
        <w:tc>
          <w:tcPr>
            <w:tcW w:type="dxa" w:w="2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7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Panel / onsite</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7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Final / skills</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7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Debrief</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30 min, scheduled now</w:t>
            </w:r>
          </w:p>
        </w:tc>
        <w:tc>
          <w:tcPr>
            <w:tcW w:type="dxa" w:w="2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7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bl>
    <w:p>
      <w:pPr>
        <w:pStyle w:val="Heading2"/>
        <w:spacing w:after="120" w:before="260"/>
      </w:pPr>
      <w:r>
        <w:rPr>
          <w:rFonts w:ascii="Arial" w:cs="Arial" w:eastAsia="Arial" w:hAnsi="Arial"/>
          <w:b/>
          <w:bCs/>
          <w:color w:val="1F3864"/>
          <w:sz w:val="23"/>
          <w:szCs w:val="23"/>
        </w:rPr>
        <w:t xml:space="preserve">1.6 Timeline and success profile</w:t>
      </w:r>
    </w:p>
    <w:p>
      <w:pPr>
        <w:spacing w:after="100"/>
      </w:pPr>
      <w:r>
        <w:rPr>
          <w:rFonts w:ascii="Arial" w:cs="Arial" w:eastAsia="Arial" w:hAnsi="Arial"/>
          <w:b/>
          <w:bCs/>
          <w:sz w:val="20"/>
          <w:szCs w:val="20"/>
        </w:rPr>
        <w:t xml:space="preserve">Target start date: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Working-backwards posting date: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At 30 days, success looks like: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At 90 days: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At 180 days:  </w:t>
      </w:r>
      <w:r>
        <w:rPr>
          <w:rFonts w:ascii="Arial" w:cs="Arial" w:eastAsia="Arial" w:hAnsi="Arial"/>
          <w:color w:val="0000FF"/>
          <w:sz w:val="20"/>
          <w:szCs w:val="20"/>
        </w:rPr>
        <w:t xml:space="preserve">[  ]</w:t>
      </w:r>
    </w:p>
    <w:p>
      <w:pPr>
        <w:pStyle w:val="Heading2"/>
        <w:spacing w:after="120" w:before="260"/>
      </w:pPr>
      <w:r>
        <w:rPr>
          <w:rFonts w:ascii="Arial" w:cs="Arial" w:eastAsia="Arial" w:hAnsi="Arial"/>
          <w:b/>
          <w:bCs/>
          <w:color w:val="1F3864"/>
          <w:sz w:val="23"/>
          <w:szCs w:val="23"/>
        </w:rPr>
        <w:t xml:space="preserve">1.7 Forecast questions for the manager</w:t>
      </w:r>
    </w:p>
    <w:p>
      <w:pPr>
        <w:pStyle w:val="ListParagraph"/>
        <w:numPr>
          <w:ilvl w:val="0"/>
          <w:numId w:val="2"/>
        </w:numPr>
        <w:spacing w:after="70"/>
      </w:pPr>
      <w:r>
        <w:rPr>
          <w:rFonts w:ascii="Arial" w:cs="Arial" w:eastAsia="Arial" w:hAnsi="Arial"/>
          <w:color w:val="000000"/>
          <w:sz w:val="20"/>
          <w:szCs w:val="20"/>
        </w:rPr>
        <w:t xml:space="preserve">Turnover trend in this role over the last 12 months?</w:t>
      </w:r>
    </w:p>
    <w:p>
      <w:pPr>
        <w:pStyle w:val="ListParagraph"/>
        <w:numPr>
          <w:ilvl w:val="0"/>
          <w:numId w:val="2"/>
        </w:numPr>
        <w:spacing w:after="70"/>
      </w:pPr>
      <w:r>
        <w:rPr>
          <w:rFonts w:ascii="Arial" w:cs="Arial" w:eastAsia="Arial" w:hAnsi="Arial"/>
          <w:color w:val="000000"/>
          <w:sz w:val="20"/>
          <w:szCs w:val="20"/>
        </w:rPr>
        <w:t xml:space="preserve">Seasonal volume peaks and the lead time they require?</w:t>
      </w:r>
    </w:p>
    <w:p>
      <w:pPr>
        <w:pStyle w:val="ListParagraph"/>
        <w:numPr>
          <w:ilvl w:val="0"/>
          <w:numId w:val="2"/>
        </w:numPr>
        <w:spacing w:after="70"/>
      </w:pPr>
      <w:r>
        <w:rPr>
          <w:rFonts w:ascii="Arial" w:cs="Arial" w:eastAsia="Arial" w:hAnsi="Arial"/>
          <w:color w:val="000000"/>
          <w:sz w:val="20"/>
          <w:szCs w:val="20"/>
        </w:rPr>
        <w:t xml:space="preserve">Known upcoming resignations, transfers or promotions?</w:t>
      </w:r>
    </w:p>
    <w:p>
      <w:pPr>
        <w:pStyle w:val="ListParagraph"/>
        <w:numPr>
          <w:ilvl w:val="0"/>
          <w:numId w:val="2"/>
        </w:numPr>
        <w:spacing w:after="70"/>
      </w:pPr>
      <w:r>
        <w:rPr>
          <w:rFonts w:ascii="Arial" w:cs="Arial" w:eastAsia="Arial" w:hAnsi="Arial"/>
          <w:color w:val="000000"/>
          <w:sz w:val="20"/>
          <w:szCs w:val="20"/>
        </w:rPr>
        <w:t xml:space="preserve">How long did the last three hires take, and where did they stall?</w:t>
      </w:r>
    </w:p>
    <w:p>
      <w:pPr>
        <w:pStyle w:val="Heading2"/>
        <w:spacing w:after="120" w:before="260"/>
      </w:pPr>
      <w:r>
        <w:rPr>
          <w:rFonts w:ascii="Arial" w:cs="Arial" w:eastAsia="Arial" w:hAnsi="Arial"/>
          <w:b/>
          <w:bCs/>
          <w:color w:val="1F3864"/>
          <w:sz w:val="23"/>
          <w:szCs w:val="23"/>
        </w:rPr>
        <w:t xml:space="preserve">1.8 Sourcing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000"/>
        <w:gridCol w:w="1900"/>
      </w:tblGrid>
      <w:tr>
        <w:tc>
          <w:tcPr>
            <w:tcW w:type="dxa" w:w="2900"/>
            <w:shd w:fill="1F3864" w:val="clear"/>
            <w:tcMar>
              <w:top w:type="dxa" w:w="70"/>
              <w:left w:type="dxa" w:w="100"/>
              <w:bottom w:type="dxa" w:w="70"/>
              <w:right w:type="dxa" w:w="100"/>
            </w:tcMar>
          </w:tcPr>
          <w:p>
            <w:r>
              <w:rPr>
                <w:rFonts w:ascii="Arial" w:cs="Arial" w:eastAsia="Arial" w:hAnsi="Arial"/>
                <w:b/>
                <w:bCs/>
                <w:color w:val="FFFFFF"/>
                <w:sz w:val="18"/>
                <w:szCs w:val="18"/>
              </w:rPr>
              <w:t xml:space="preserve">Channel</w:t>
            </w:r>
          </w:p>
        </w:tc>
        <w:tc>
          <w:tcPr>
            <w:tcW w:type="dxa" w:w="2400"/>
            <w:shd w:fill="1F3864" w:val="clear"/>
            <w:tcMar>
              <w:top w:type="dxa" w:w="70"/>
              <w:left w:type="dxa" w:w="100"/>
              <w:bottom w:type="dxa" w:w="70"/>
              <w:right w:type="dxa" w:w="100"/>
            </w:tcMar>
          </w:tcPr>
          <w:p>
            <w:r>
              <w:rPr>
                <w:rFonts w:ascii="Arial" w:cs="Arial" w:eastAsia="Arial" w:hAnsi="Arial"/>
                <w:b/>
                <w:bCs/>
                <w:color w:val="FFFFFF"/>
                <w:sz w:val="18"/>
                <w:szCs w:val="18"/>
              </w:rPr>
              <w:t xml:space="preserve">Target applicants</w:t>
            </w:r>
          </w:p>
        </w:tc>
        <w:tc>
          <w:tcPr>
            <w:tcW w:type="dxa" w:w="2000"/>
            <w:shd w:fill="1F3864" w:val="clear"/>
            <w:tcMar>
              <w:top w:type="dxa" w:w="70"/>
              <w:left w:type="dxa" w:w="100"/>
              <w:bottom w:type="dxa" w:w="70"/>
              <w:right w:type="dxa" w:w="100"/>
            </w:tcMar>
          </w:tcPr>
          <w:p>
            <w:r>
              <w:rPr>
                <w:rFonts w:ascii="Arial" w:cs="Arial" w:eastAsia="Arial" w:hAnsi="Arial"/>
                <w:b/>
                <w:bCs/>
                <w:color w:val="FFFFFF"/>
                <w:sz w:val="18"/>
                <w:szCs w:val="18"/>
              </w:rPr>
              <w:t xml:space="preserve">Owner</w:t>
            </w:r>
          </w:p>
        </w:tc>
        <w:tc>
          <w:tcPr>
            <w:tcW w:type="dxa" w:w="1900"/>
            <w:shd w:fill="1F3864" w:val="clear"/>
            <w:tcMar>
              <w:top w:type="dxa" w:w="70"/>
              <w:left w:type="dxa" w:w="100"/>
              <w:bottom w:type="dxa" w:w="70"/>
              <w:right w:type="dxa" w:w="100"/>
            </w:tcMar>
          </w:tcPr>
          <w:p>
            <w:r>
              <w:rPr>
                <w:rFonts w:ascii="Arial" w:cs="Arial" w:eastAsia="Arial" w:hAnsi="Arial"/>
                <w:b/>
                <w:bCs/>
                <w:color w:val="FFFFFF"/>
                <w:sz w:val="18"/>
                <w:szCs w:val="18"/>
              </w:rPr>
              <w:t xml:space="preserve">Live date</w:t>
            </w:r>
          </w:p>
        </w:tc>
      </w:tr>
      <w:tr>
        <w:tc>
          <w:tcPr>
            <w:tcW w:type="dxa" w:w="2900"/>
            <w:tcMar>
              <w:top w:type="dxa" w:w="70"/>
              <w:left w:type="dxa" w:w="100"/>
              <w:bottom w:type="dxa" w:w="70"/>
              <w:right w:type="dxa" w:w="100"/>
            </w:tcMar>
          </w:tcPr>
          <w:p>
            <w:r>
              <w:rPr>
                <w:rFonts w:ascii="Arial" w:cs="Arial" w:eastAsia="Arial" w:hAnsi="Arial"/>
                <w:b w:val="false"/>
                <w:bCs w:val="false"/>
                <w:color w:val="000000"/>
                <w:sz w:val="18"/>
                <w:szCs w:val="18"/>
              </w:rPr>
              <w:t xml:space="preserve">Career site / ATS</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900"/>
            <w:tcMar>
              <w:top w:type="dxa" w:w="70"/>
              <w:left w:type="dxa" w:w="100"/>
              <w:bottom w:type="dxa" w:w="70"/>
              <w:right w:type="dxa" w:w="100"/>
            </w:tcMar>
          </w:tcPr>
          <w:p>
            <w:r>
              <w:rPr>
                <w:rFonts w:ascii="Arial" w:cs="Arial" w:eastAsia="Arial" w:hAnsi="Arial"/>
                <w:b w:val="false"/>
                <w:bCs w:val="false"/>
                <w:color w:val="000000"/>
                <w:sz w:val="18"/>
                <w:szCs w:val="18"/>
              </w:rPr>
              <w:t xml:space="preserve">Job boards</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900"/>
            <w:tcMar>
              <w:top w:type="dxa" w:w="70"/>
              <w:left w:type="dxa" w:w="100"/>
              <w:bottom w:type="dxa" w:w="70"/>
              <w:right w:type="dxa" w:w="100"/>
            </w:tcMar>
          </w:tcPr>
          <w:p>
            <w:r>
              <w:rPr>
                <w:rFonts w:ascii="Arial" w:cs="Arial" w:eastAsia="Arial" w:hAnsi="Arial"/>
                <w:b w:val="false"/>
                <w:bCs w:val="false"/>
                <w:color w:val="000000"/>
                <w:sz w:val="18"/>
                <w:szCs w:val="18"/>
              </w:rPr>
              <w:t xml:space="preserve">Employee referrals</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900"/>
            <w:tcMar>
              <w:top w:type="dxa" w:w="70"/>
              <w:left w:type="dxa" w:w="100"/>
              <w:bottom w:type="dxa" w:w="70"/>
              <w:right w:type="dxa" w:w="100"/>
            </w:tcMar>
          </w:tcPr>
          <w:p>
            <w:r>
              <w:rPr>
                <w:rFonts w:ascii="Arial" w:cs="Arial" w:eastAsia="Arial" w:hAnsi="Arial"/>
                <w:b w:val="false"/>
                <w:bCs w:val="false"/>
                <w:color w:val="000000"/>
                <w:sz w:val="18"/>
                <w:szCs w:val="18"/>
              </w:rPr>
              <w:t xml:space="preserve">Passive outreach</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900"/>
            <w:tcMar>
              <w:top w:type="dxa" w:w="70"/>
              <w:left w:type="dxa" w:w="100"/>
              <w:bottom w:type="dxa" w:w="70"/>
              <w:right w:type="dxa" w:w="100"/>
            </w:tcMar>
          </w:tcPr>
          <w:p>
            <w:r>
              <w:rPr>
                <w:rFonts w:ascii="Arial" w:cs="Arial" w:eastAsia="Arial" w:hAnsi="Arial"/>
                <w:b w:val="false"/>
                <w:bCs w:val="false"/>
                <w:color w:val="000000"/>
                <w:sz w:val="18"/>
                <w:szCs w:val="18"/>
              </w:rPr>
              <w:t xml:space="preserve">Events / community</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900"/>
            <w:tcMar>
              <w:top w:type="dxa" w:w="70"/>
              <w:left w:type="dxa" w:w="100"/>
              <w:bottom w:type="dxa" w:w="70"/>
              <w:right w:type="dxa" w:w="100"/>
            </w:tcMar>
          </w:tcPr>
          <w:p>
            <w:r>
              <w:rPr>
                <w:rFonts w:ascii="Arial" w:cs="Arial" w:eastAsia="Arial" w:hAnsi="Arial"/>
                <w:b w:val="false"/>
                <w:bCs w:val="false"/>
                <w:color w:val="000000"/>
                <w:sz w:val="18"/>
                <w:szCs w:val="18"/>
              </w:rPr>
              <w:t xml:space="preserve">Agency (last resort)</w:t>
            </w:r>
          </w:p>
        </w:tc>
        <w:tc>
          <w:tcPr>
            <w:tcW w:type="dxa" w:w="2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20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9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bl>
    <w:p>
      <w:r>
        <w:br w:type="page"/>
      </w:r>
    </w:p>
    <w:p>
      <w:pPr>
        <w:pStyle w:val="Heading1"/>
        <w:spacing w:after="160" w:before="320"/>
      </w:pPr>
      <w:r>
        <w:rPr>
          <w:rFonts w:ascii="Arial" w:cs="Arial" w:eastAsia="Arial" w:hAnsi="Arial"/>
          <w:b/>
          <w:bCs/>
          <w:color w:val="1F3864"/>
          <w:sz w:val="28"/>
          <w:szCs w:val="28"/>
        </w:rPr>
        <w:t xml:space="preserve">2. Job ad checklist</w:t>
      </w:r>
    </w:p>
    <w:p>
      <w:pPr>
        <w:pStyle w:val="ListParagraph"/>
        <w:numPr>
          <w:ilvl w:val="0"/>
          <w:numId w:val="2"/>
        </w:numPr>
        <w:spacing w:after="70"/>
      </w:pPr>
      <w:r>
        <w:rPr>
          <w:rFonts w:ascii="Arial" w:cs="Arial" w:eastAsia="Arial" w:hAnsi="Arial"/>
          <w:color w:val="000000"/>
          <w:sz w:val="20"/>
          <w:szCs w:val="20"/>
        </w:rPr>
        <w:t xml:space="preserve">Opens with what the person will actually do, not a company boilerplate paragraph.</w:t>
      </w:r>
    </w:p>
    <w:p>
      <w:pPr>
        <w:pStyle w:val="ListParagraph"/>
        <w:numPr>
          <w:ilvl w:val="0"/>
          <w:numId w:val="2"/>
        </w:numPr>
        <w:spacing w:after="70"/>
      </w:pPr>
      <w:r>
        <w:rPr>
          <w:rFonts w:ascii="Arial" w:cs="Arial" w:eastAsia="Arial" w:hAnsi="Arial"/>
          <w:color w:val="000000"/>
          <w:sz w:val="20"/>
          <w:szCs w:val="20"/>
        </w:rPr>
        <w:t xml:space="preserve">Pay range and shift stated up front for hourly roles.</w:t>
      </w:r>
    </w:p>
    <w:p>
      <w:pPr>
        <w:pStyle w:val="ListParagraph"/>
        <w:numPr>
          <w:ilvl w:val="0"/>
          <w:numId w:val="2"/>
        </w:numPr>
        <w:spacing w:after="70"/>
      </w:pPr>
      <w:r>
        <w:rPr>
          <w:rFonts w:ascii="Arial" w:cs="Arial" w:eastAsia="Arial" w:hAnsi="Arial"/>
          <w:color w:val="000000"/>
          <w:sz w:val="20"/>
          <w:szCs w:val="20"/>
        </w:rPr>
        <w:t xml:space="preserve">Five to seven required qualifications, maximum.</w:t>
      </w:r>
    </w:p>
    <w:p>
      <w:pPr>
        <w:pStyle w:val="ListParagraph"/>
        <w:numPr>
          <w:ilvl w:val="0"/>
          <w:numId w:val="2"/>
        </w:numPr>
        <w:spacing w:after="70"/>
      </w:pPr>
      <w:r>
        <w:rPr>
          <w:rFonts w:ascii="Arial" w:cs="Arial" w:eastAsia="Arial" w:hAnsi="Arial"/>
          <w:color w:val="000000"/>
          <w:sz w:val="20"/>
          <w:szCs w:val="20"/>
        </w:rPr>
        <w:t xml:space="preserve">Plain, inclusive language — no 'recent grad', 'digital native', 'young and energetic', no 'he/she'.</w:t>
      </w:r>
    </w:p>
    <w:p>
      <w:pPr>
        <w:pStyle w:val="ListParagraph"/>
        <w:numPr>
          <w:ilvl w:val="0"/>
          <w:numId w:val="2"/>
        </w:numPr>
        <w:spacing w:after="70"/>
      </w:pPr>
      <w:r>
        <w:rPr>
          <w:rFonts w:ascii="Arial" w:cs="Arial" w:eastAsia="Arial" w:hAnsi="Arial"/>
          <w:color w:val="000000"/>
          <w:sz w:val="20"/>
          <w:szCs w:val="20"/>
        </w:rPr>
        <w:t xml:space="preserve">EEO statement included.</w:t>
      </w:r>
    </w:p>
    <w:p>
      <w:pPr>
        <w:pStyle w:val="ListParagraph"/>
        <w:numPr>
          <w:ilvl w:val="0"/>
          <w:numId w:val="2"/>
        </w:numPr>
        <w:spacing w:after="70"/>
      </w:pPr>
      <w:r>
        <w:rPr>
          <w:rFonts w:ascii="Arial" w:cs="Arial" w:eastAsia="Arial" w:hAnsi="Arial"/>
          <w:color w:val="000000"/>
          <w:sz w:val="20"/>
          <w:szCs w:val="20"/>
        </w:rPr>
        <w:t xml:space="preserve">Pay-transparency disclosure included where the jurisdiction requires it — verify the current rule.</w:t>
      </w:r>
    </w:p>
    <w:p>
      <w:pPr>
        <w:pStyle w:val="ListParagraph"/>
        <w:numPr>
          <w:ilvl w:val="0"/>
          <w:numId w:val="2"/>
        </w:numPr>
        <w:spacing w:after="70"/>
      </w:pPr>
      <w:r>
        <w:rPr>
          <w:rFonts w:ascii="Arial" w:cs="Arial" w:eastAsia="Arial" w:hAnsi="Arial"/>
          <w:color w:val="000000"/>
          <w:sz w:val="20"/>
          <w:szCs w:val="20"/>
        </w:rPr>
        <w:t xml:space="preserve">Clear application call to action and expected response time.</w:t>
      </w:r>
    </w:p>
    <w:p>
      <w:pPr>
        <w:pStyle w:val="Heading1"/>
        <w:spacing w:after="160" w:before="320"/>
      </w:pPr>
      <w:r>
        <w:rPr>
          <w:rFonts w:ascii="Arial" w:cs="Arial" w:eastAsia="Arial" w:hAnsi="Arial"/>
          <w:b/>
          <w:bCs/>
          <w:color w:val="1F3864"/>
          <w:sz w:val="28"/>
          <w:szCs w:val="28"/>
        </w:rPr>
        <w:t xml:space="preserve">3. Phone / video screen guide</w:t>
      </w:r>
    </w:p>
    <w:p>
      <w:pPr>
        <w:spacing w:after="120"/>
      </w:pPr>
      <w:r>
        <w:rPr>
          <w:rFonts w:ascii="Arial" w:cs="Arial" w:eastAsia="Arial" w:hAnsi="Arial"/>
          <w:i/>
          <w:iCs/>
          <w:color w:val="595959"/>
          <w:sz w:val="18"/>
          <w:szCs w:val="18"/>
        </w:rPr>
        <w:t xml:space="preserve">20–30 minutes. Same questions, same order, same rubric for every candidate on the requisition.</w:t>
      </w:r>
    </w:p>
    <w:p>
      <w:pPr>
        <w:pStyle w:val="ListParagraph"/>
        <w:numPr>
          <w:ilvl w:val="0"/>
          <w:numId w:val="3"/>
        </w:numPr>
        <w:spacing w:after="70"/>
      </w:pPr>
      <w:r>
        <w:rPr>
          <w:rFonts w:ascii="Arial" w:cs="Arial" w:eastAsia="Arial" w:hAnsi="Arial"/>
          <w:sz w:val="20"/>
          <w:szCs w:val="20"/>
        </w:rPr>
        <w:t xml:space="preserve">Role and company overview, then the realistic job preview: actual shift times, physical demands, pace, peak seasons, weekend and holiday expectations, dress code, equipment. Do not soften the hard parts — under-selling protects 90-day retention.</w:t>
      </w:r>
    </w:p>
    <w:p>
      <w:pPr>
        <w:pStyle w:val="ListParagraph"/>
        <w:numPr>
          <w:ilvl w:val="0"/>
          <w:numId w:val="3"/>
        </w:numPr>
        <w:spacing w:after="70"/>
      </w:pPr>
      <w:r>
        <w:rPr>
          <w:rFonts w:ascii="Arial" w:cs="Arial" w:eastAsia="Arial" w:hAnsi="Arial"/>
          <w:sz w:val="20"/>
          <w:szCs w:val="20"/>
        </w:rPr>
        <w:t xml:space="preserve">Work history walkthrough — relevance, tenure patterns, reasons for change.</w:t>
      </w:r>
    </w:p>
    <w:p>
      <w:pPr>
        <w:pStyle w:val="ListParagraph"/>
        <w:numPr>
          <w:ilvl w:val="0"/>
          <w:numId w:val="3"/>
        </w:numPr>
        <w:spacing w:after="70"/>
      </w:pPr>
      <w:r>
        <w:rPr>
          <w:rFonts w:ascii="Arial" w:cs="Arial" w:eastAsia="Arial" w:hAnsi="Arial"/>
          <w:sz w:val="20"/>
          <w:szCs w:val="20"/>
        </w:rPr>
        <w:t xml:space="preserve">Technical / functional questions from the approved bank, scored on the rubric.</w:t>
      </w:r>
    </w:p>
    <w:p>
      <w:pPr>
        <w:pStyle w:val="ListParagraph"/>
        <w:numPr>
          <w:ilvl w:val="0"/>
          <w:numId w:val="3"/>
        </w:numPr>
        <w:spacing w:after="70"/>
      </w:pPr>
      <w:r>
        <w:rPr>
          <w:rFonts w:ascii="Arial" w:cs="Arial" w:eastAsia="Arial" w:hAnsi="Arial"/>
          <w:sz w:val="20"/>
          <w:szCs w:val="20"/>
        </w:rPr>
        <w:t xml:space="preserve">Two or three behavioral questions on the competencies this stage owns.</w:t>
      </w:r>
    </w:p>
    <w:p>
      <w:pPr>
        <w:pStyle w:val="ListParagraph"/>
        <w:numPr>
          <w:ilvl w:val="0"/>
          <w:numId w:val="3"/>
        </w:numPr>
        <w:spacing w:after="70"/>
      </w:pPr>
      <w:r>
        <w:rPr>
          <w:rFonts w:ascii="Arial" w:cs="Arial" w:eastAsia="Arial" w:hAnsi="Arial"/>
          <w:sz w:val="20"/>
          <w:szCs w:val="20"/>
        </w:rPr>
        <w:t xml:space="preserve">Logistics: availability, shift flexibility, start date, work authorization status confirmation only, commute viability, compensation expectations against the posted range.</w:t>
      </w:r>
    </w:p>
    <w:p>
      <w:pPr>
        <w:pStyle w:val="ListParagraph"/>
        <w:numPr>
          <w:ilvl w:val="0"/>
          <w:numId w:val="3"/>
        </w:numPr>
        <w:spacing w:after="70"/>
      </w:pPr>
      <w:r>
        <w:rPr>
          <w:rFonts w:ascii="Arial" w:cs="Arial" w:eastAsia="Arial" w:hAnsi="Arial"/>
          <w:sz w:val="20"/>
          <w:szCs w:val="20"/>
        </w:rPr>
        <w:t xml:space="preserve">Candidate questions, then an explicit next step and timeline.</w:t>
      </w:r>
    </w:p>
    <w:p>
      <w:pPr>
        <w:spacing w:after="140" w:before="100"/>
      </w:pPr>
      <w:r>
        <w:rPr>
          <w:rFonts w:ascii="Arial" w:cs="Arial" w:eastAsia="Arial" w:hAnsi="Arial"/>
          <w:b/>
          <w:bCs/>
          <w:color w:val="C00000"/>
          <w:sz w:val="18"/>
          <w:szCs w:val="18"/>
        </w:rPr>
        <w:t xml:space="preserve">⚠  Do not review identity documents, ask for date of birth or graduation year, ask about family or childcare arrangements, ask about health or disability, or ask salary history where it is restricted. Work authorization is a yes/no status question only — document review happens after acceptance.</w:t>
      </w:r>
    </w:p>
    <w:p>
      <w:pPr>
        <w:pStyle w:val="Heading2"/>
        <w:spacing w:after="120" w:before="260"/>
      </w:pPr>
      <w:r>
        <w:rPr>
          <w:rFonts w:ascii="Arial" w:cs="Arial" w:eastAsia="Arial" w:hAnsi="Arial"/>
          <w:b/>
          <w:bCs/>
          <w:color w:val="1F3864"/>
          <w:sz w:val="23"/>
          <w:szCs w:val="23"/>
        </w:rPr>
        <w:t xml:space="preserve">3.1 Screen scorecard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c>
          <w:tcPr>
            <w:tcW w:type="dxa" w:w="2600"/>
            <w:shd w:fill="1F3864" w:val="clear"/>
            <w:tcMar>
              <w:top w:type="dxa" w:w="70"/>
              <w:left w:type="dxa" w:w="100"/>
              <w:bottom w:type="dxa" w:w="70"/>
              <w:right w:type="dxa" w:w="100"/>
            </w:tcMar>
          </w:tcPr>
          <w:p>
            <w:r>
              <w:rPr>
                <w:rFonts w:ascii="Arial" w:cs="Arial" w:eastAsia="Arial" w:hAnsi="Arial"/>
                <w:b/>
                <w:bCs/>
                <w:color w:val="FFFFFF"/>
                <w:sz w:val="18"/>
                <w:szCs w:val="18"/>
              </w:rPr>
              <w:t xml:space="preserve">Competency</w:t>
            </w:r>
          </w:p>
        </w:tc>
        <w:tc>
          <w:tcPr>
            <w:tcW w:type="dxa" w:w="1400"/>
            <w:shd w:fill="1F3864" w:val="clear"/>
            <w:tcMar>
              <w:top w:type="dxa" w:w="70"/>
              <w:left w:type="dxa" w:w="100"/>
              <w:bottom w:type="dxa" w:w="70"/>
              <w:right w:type="dxa" w:w="100"/>
            </w:tcMar>
          </w:tcPr>
          <w:p>
            <w:r>
              <w:rPr>
                <w:rFonts w:ascii="Arial" w:cs="Arial" w:eastAsia="Arial" w:hAnsi="Arial"/>
                <w:b/>
                <w:bCs/>
                <w:color w:val="FFFFFF"/>
                <w:sz w:val="18"/>
                <w:szCs w:val="18"/>
              </w:rPr>
              <w:t xml:space="preserve">Rating 1–4</w:t>
            </w:r>
          </w:p>
        </w:tc>
        <w:tc>
          <w:tcPr>
            <w:tcW w:type="dxa" w:w="5200"/>
            <w:shd w:fill="1F3864" w:val="clear"/>
            <w:tcMar>
              <w:top w:type="dxa" w:w="70"/>
              <w:left w:type="dxa" w:w="100"/>
              <w:bottom w:type="dxa" w:w="70"/>
              <w:right w:type="dxa" w:w="100"/>
            </w:tcMar>
          </w:tcPr>
          <w:p>
            <w:r>
              <w:rPr>
                <w:rFonts w:ascii="Arial" w:cs="Arial" w:eastAsia="Arial" w:hAnsi="Arial"/>
                <w:b/>
                <w:bCs/>
                <w:color w:val="FFFFFF"/>
                <w:sz w:val="18"/>
                <w:szCs w:val="18"/>
              </w:rPr>
              <w:t xml:space="preserve">Behavioral evidence (required)</w:t>
            </w:r>
          </w:p>
        </w:tc>
      </w:tr>
      <w:tr>
        <w:tc>
          <w:tcPr>
            <w:tcW w:type="dxa" w:w="26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5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6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5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6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5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r>
        <w:tc>
          <w:tcPr>
            <w:tcW w:type="dxa" w:w="26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14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c>
          <w:tcPr>
            <w:tcW w:type="dxa" w:w="5200"/>
            <w:tcMar>
              <w:top w:type="dxa" w:w="70"/>
              <w:left w:type="dxa" w:w="100"/>
              <w:bottom w:type="dxa" w:w="70"/>
              <w:right w:type="dxa" w:w="100"/>
            </w:tcMar>
          </w:tcPr>
          <w:p>
            <w:r>
              <w:rPr>
                <w:rFonts w:ascii="Arial" w:cs="Arial" w:eastAsia="Arial" w:hAnsi="Arial"/>
                <w:b w:val="false"/>
                <w:bCs w:val="false"/>
                <w:color w:val="000000"/>
                <w:sz w:val="18"/>
                <w:szCs w:val="18"/>
              </w:rPr>
              <w:t xml:space="preserve"/>
            </w:r>
          </w:p>
        </w:tc>
      </w:tr>
    </w:tbl>
    <w:p>
      <w:pPr>
        <w:spacing w:after="100"/>
      </w:pPr>
      <w:r>
        <w:rPr>
          <w:rFonts w:ascii="Arial" w:cs="Arial" w:eastAsia="Arial" w:hAnsi="Arial"/>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shd w:fill="1F3864" w:val="clear"/>
            <w:tcMar>
              <w:top w:type="dxa" w:w="70"/>
              <w:left w:type="dxa" w:w="100"/>
              <w:bottom w:type="dxa" w:w="70"/>
              <w:right w:type="dxa" w:w="100"/>
            </w:tcMar>
          </w:tcPr>
          <w:p>
            <w:r>
              <w:rPr>
                <w:rFonts w:ascii="Arial" w:cs="Arial" w:eastAsia="Arial" w:hAnsi="Arial"/>
                <w:b/>
                <w:bCs/>
                <w:color w:val="FFFFFF"/>
                <w:sz w:val="18"/>
                <w:szCs w:val="18"/>
              </w:rPr>
              <w:t xml:space="preserve">4</w:t>
            </w:r>
          </w:p>
        </w:tc>
        <w:tc>
          <w:tcPr>
            <w:tcW w:type="dxa" w:w="8500"/>
            <w:shd w:fill="1F3864" w:val="clear"/>
            <w:tcMar>
              <w:top w:type="dxa" w:w="70"/>
              <w:left w:type="dxa" w:w="100"/>
              <w:bottom w:type="dxa" w:w="70"/>
              <w:right w:type="dxa" w:w="100"/>
            </w:tcMar>
          </w:tcPr>
          <w:p>
            <w:r>
              <w:rPr>
                <w:rFonts w:ascii="Arial" w:cs="Arial" w:eastAsia="Arial" w:hAnsi="Arial"/>
                <w:b/>
                <w:bCs/>
                <w:color w:val="FFFFFF"/>
                <w:sz w:val="18"/>
                <w:szCs w:val="18"/>
              </w:rPr>
              <w:t xml:space="preserve">Strong evidence, exceeds the bar for the level</w:t>
            </w:r>
          </w:p>
        </w:tc>
      </w:tr>
      <w:tr>
        <w:tc>
          <w:tcPr>
            <w:tcW w:type="dxa" w:w="700"/>
            <w:tcMar>
              <w:top w:type="dxa" w:w="70"/>
              <w:left w:type="dxa" w:w="100"/>
              <w:bottom w:type="dxa" w:w="70"/>
              <w:right w:type="dxa" w:w="100"/>
            </w:tcMar>
          </w:tcPr>
          <w:p>
            <w:r>
              <w:rPr>
                <w:rFonts w:ascii="Arial" w:cs="Arial" w:eastAsia="Arial" w:hAnsi="Arial"/>
                <w:b w:val="false"/>
                <w:bCs w:val="false"/>
                <w:color w:val="000000"/>
                <w:sz w:val="18"/>
                <w:szCs w:val="18"/>
              </w:rPr>
              <w:t xml:space="preserve">3</w:t>
            </w:r>
          </w:p>
        </w:tc>
        <w:tc>
          <w:tcPr>
            <w:tcW w:type="dxa" w:w="8500"/>
            <w:tcMar>
              <w:top w:type="dxa" w:w="70"/>
              <w:left w:type="dxa" w:w="100"/>
              <w:bottom w:type="dxa" w:w="70"/>
              <w:right w:type="dxa" w:w="100"/>
            </w:tcMar>
          </w:tcPr>
          <w:p>
            <w:r>
              <w:rPr>
                <w:rFonts w:ascii="Arial" w:cs="Arial" w:eastAsia="Arial" w:hAnsi="Arial"/>
                <w:b w:val="false"/>
                <w:bCs w:val="false"/>
                <w:color w:val="000000"/>
                <w:sz w:val="18"/>
                <w:szCs w:val="18"/>
              </w:rPr>
              <w:t xml:space="preserve">Meets the bar; evidence is concrete and job-related</w:t>
            </w:r>
          </w:p>
        </w:tc>
      </w:tr>
      <w:tr>
        <w:tc>
          <w:tcPr>
            <w:tcW w:type="dxa" w:w="700"/>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8500"/>
            <w:tcMar>
              <w:top w:type="dxa" w:w="70"/>
              <w:left w:type="dxa" w:w="100"/>
              <w:bottom w:type="dxa" w:w="70"/>
              <w:right w:type="dxa" w:w="100"/>
            </w:tcMar>
          </w:tcPr>
          <w:p>
            <w:r>
              <w:rPr>
                <w:rFonts w:ascii="Arial" w:cs="Arial" w:eastAsia="Arial" w:hAnsi="Arial"/>
                <w:b w:val="false"/>
                <w:bCs w:val="false"/>
                <w:color w:val="000000"/>
                <w:sz w:val="18"/>
                <w:szCs w:val="18"/>
              </w:rPr>
              <w:t xml:space="preserve">Partial evidence, or a gap against a documented must-have</w:t>
            </w:r>
          </w:p>
        </w:tc>
      </w:tr>
      <w:tr>
        <w:tc>
          <w:tcPr>
            <w:tcW w:type="dxa" w:w="700"/>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8500"/>
            <w:tcMar>
              <w:top w:type="dxa" w:w="70"/>
              <w:left w:type="dxa" w:w="100"/>
              <w:bottom w:type="dxa" w:w="70"/>
              <w:right w:type="dxa" w:w="100"/>
            </w:tcMar>
          </w:tcPr>
          <w:p>
            <w:r>
              <w:rPr>
                <w:rFonts w:ascii="Arial" w:cs="Arial" w:eastAsia="Arial" w:hAnsi="Arial"/>
                <w:b w:val="false"/>
                <w:bCs w:val="false"/>
                <w:color w:val="000000"/>
                <w:sz w:val="18"/>
                <w:szCs w:val="18"/>
              </w:rPr>
              <w:t xml:space="preserve">No evidence, or evidence contradicts the requirement</w:t>
            </w:r>
          </w:p>
        </w:tc>
      </w:tr>
    </w:tbl>
    <w:p>
      <w:pPr>
        <w:spacing w:after="120"/>
      </w:pPr>
      <w:r>
        <w:rPr>
          <w:rFonts w:ascii="Arial" w:cs="Arial" w:eastAsia="Arial" w:hAnsi="Arial"/>
          <w:color w:val="000000"/>
          <w:sz w:val="20"/>
          <w:szCs w:val="20"/>
        </w:rPr>
        <w:t xml:space="preserve"/>
      </w:r>
    </w:p>
    <w:p>
      <w:pPr>
        <w:spacing w:after="100"/>
      </w:pPr>
      <w:r>
        <w:rPr>
          <w:rFonts w:ascii="Arial" w:cs="Arial" w:eastAsia="Arial" w:hAnsi="Arial"/>
          <w:b/>
          <w:bCs/>
          <w:sz w:val="20"/>
          <w:szCs w:val="20"/>
        </w:rPr>
        <w:t xml:space="preserve">Recommendation:  </w:t>
      </w:r>
      <w:r>
        <w:rPr>
          <w:rFonts w:ascii="Arial" w:cs="Arial" w:eastAsia="Arial" w:hAnsi="Arial"/>
          <w:color w:val="0000FF"/>
          <w:sz w:val="20"/>
          <w:szCs w:val="20"/>
        </w:rPr>
        <w:t xml:space="preserve">[ Advance / Hold / Decline ]</w:t>
      </w:r>
    </w:p>
    <w:p>
      <w:pPr>
        <w:spacing w:after="100"/>
      </w:pPr>
      <w:r>
        <w:rPr>
          <w:rFonts w:ascii="Arial" w:cs="Arial" w:eastAsia="Arial" w:hAnsi="Arial"/>
          <w:b/>
          <w:bCs/>
          <w:sz w:val="20"/>
          <w:szCs w:val="20"/>
        </w:rPr>
        <w:t xml:space="preserve">Reason code (job-related):  </w:t>
      </w:r>
      <w:r>
        <w:rPr>
          <w:rFonts w:ascii="Arial" w:cs="Arial" w:eastAsia="Arial" w:hAnsi="Arial"/>
          <w:color w:val="0000FF"/>
          <w:sz w:val="20"/>
          <w:szCs w:val="20"/>
        </w:rPr>
        <w:t xml:space="preserve">[  ]</w:t>
      </w:r>
    </w:p>
    <w:p>
      <w:r>
        <w:br w:type="page"/>
      </w:r>
    </w:p>
    <w:p>
      <w:pPr>
        <w:pStyle w:val="Heading1"/>
        <w:spacing w:after="160" w:before="320"/>
      </w:pPr>
      <w:r>
        <w:rPr>
          <w:rFonts w:ascii="Arial" w:cs="Arial" w:eastAsia="Arial" w:hAnsi="Arial"/>
          <w:b/>
          <w:bCs/>
          <w:color w:val="1F3864"/>
          <w:sz w:val="28"/>
          <w:szCs w:val="28"/>
        </w:rPr>
        <w:t xml:space="preserve">4. Scheduling — coordinator sequence</w:t>
      </w:r>
    </w:p>
    <w:p>
      <w:pPr>
        <w:pStyle w:val="ListParagraph"/>
        <w:numPr>
          <w:ilvl w:val="0"/>
          <w:numId w:val="3"/>
        </w:numPr>
        <w:spacing w:after="70"/>
      </w:pPr>
      <w:r>
        <w:rPr>
          <w:rFonts w:ascii="Arial" w:cs="Arial" w:eastAsia="Arial" w:hAnsi="Arial"/>
          <w:sz w:val="20"/>
          <w:szCs w:val="20"/>
        </w:rPr>
        <w:t xml:space="preserve">Confirm the loop: interviewers, sequence, duration, format, competency ownership.</w:t>
      </w:r>
    </w:p>
    <w:p>
      <w:pPr>
        <w:pStyle w:val="ListParagraph"/>
        <w:numPr>
          <w:ilvl w:val="0"/>
          <w:numId w:val="3"/>
        </w:numPr>
        <w:spacing w:after="70"/>
      </w:pPr>
      <w:r>
        <w:rPr>
          <w:rFonts w:ascii="Arial" w:cs="Arial" w:eastAsia="Arial" w:hAnsi="Arial"/>
          <w:sz w:val="20"/>
          <w:szCs w:val="20"/>
        </w:rPr>
        <w:t xml:space="preserve">Pull real availability from every interviewer's calendar. Never propose a slot you have not verified.</w:t>
      </w:r>
    </w:p>
    <w:p>
      <w:pPr>
        <w:pStyle w:val="ListParagraph"/>
        <w:numPr>
          <w:ilvl w:val="0"/>
          <w:numId w:val="3"/>
        </w:numPr>
        <w:spacing w:after="70"/>
      </w:pPr>
      <w:r>
        <w:rPr>
          <w:rFonts w:ascii="Arial" w:cs="Arial" w:eastAsia="Arial" w:hAnsi="Arial"/>
          <w:sz w:val="20"/>
          <w:szCs w:val="20"/>
        </w:rPr>
        <w:t xml:space="preserve">Offer the candidate two or three options in their own local time zone, with the zone written out and the DST offset verified.</w:t>
      </w:r>
    </w:p>
    <w:p>
      <w:pPr>
        <w:pStyle w:val="ListParagraph"/>
        <w:numPr>
          <w:ilvl w:val="0"/>
          <w:numId w:val="3"/>
        </w:numPr>
        <w:spacing w:after="70"/>
      </w:pPr>
      <w:r>
        <w:rPr>
          <w:rFonts w:ascii="Arial" w:cs="Arial" w:eastAsia="Arial" w:hAnsi="Arial"/>
          <w:sz w:val="20"/>
          <w:szCs w:val="20"/>
        </w:rPr>
        <w:t xml:space="preserve">Book complete invites: role and stage in the title, agenda with each interviewer's name and title, video link or building / floor / parking / entrance and security instructions, a day-of contact number, and the scorecard link.</w:t>
      </w:r>
    </w:p>
    <w:p>
      <w:pPr>
        <w:pStyle w:val="ListParagraph"/>
        <w:numPr>
          <w:ilvl w:val="0"/>
          <w:numId w:val="3"/>
        </w:numPr>
        <w:spacing w:after="70"/>
      </w:pPr>
      <w:r>
        <w:rPr>
          <w:rFonts w:ascii="Arial" w:cs="Arial" w:eastAsia="Arial" w:hAnsi="Arial"/>
          <w:sz w:val="20"/>
          <w:szCs w:val="20"/>
        </w:rPr>
        <w:t xml:space="preserve">Send the candidate a prep note: format, who they are meeting, what is assessed, what to bring, duration, and an accommodation offer.</w:t>
      </w:r>
    </w:p>
    <w:p>
      <w:pPr>
        <w:pStyle w:val="ListParagraph"/>
        <w:numPr>
          <w:ilvl w:val="0"/>
          <w:numId w:val="3"/>
        </w:numPr>
        <w:spacing w:after="70"/>
      </w:pPr>
      <w:r>
        <w:rPr>
          <w:rFonts w:ascii="Arial" w:cs="Arial" w:eastAsia="Arial" w:hAnsi="Arial"/>
          <w:sz w:val="20"/>
          <w:szCs w:val="20"/>
        </w:rPr>
        <w:t xml:space="preserve">Brief interviewers 24 hours ahead: resume, screen notes, assigned competencies, scorecard.</w:t>
      </w:r>
    </w:p>
    <w:p>
      <w:pPr>
        <w:pStyle w:val="ListParagraph"/>
        <w:numPr>
          <w:ilvl w:val="0"/>
          <w:numId w:val="3"/>
        </w:numPr>
        <w:spacing w:after="70"/>
      </w:pPr>
      <w:r>
        <w:rPr>
          <w:rFonts w:ascii="Arial" w:cs="Arial" w:eastAsia="Arial" w:hAnsi="Arial"/>
          <w:sz w:val="20"/>
          <w:szCs w:val="20"/>
        </w:rPr>
        <w:t xml:space="preserve">Confirm with the candidate 24 hours ahead.</w:t>
      </w:r>
    </w:p>
    <w:p>
      <w:pPr>
        <w:pStyle w:val="ListParagraph"/>
        <w:numPr>
          <w:ilvl w:val="0"/>
          <w:numId w:val="3"/>
        </w:numPr>
        <w:spacing w:after="70"/>
      </w:pPr>
      <w:r>
        <w:rPr>
          <w:rFonts w:ascii="Arial" w:cs="Arial" w:eastAsia="Arial" w:hAnsi="Arial"/>
          <w:sz w:val="20"/>
          <w:szCs w:val="20"/>
        </w:rPr>
        <w:t xml:space="preserve">Reschedule within one business day if anything moves. Apologize once; do not over-explain.</w:t>
      </w:r>
    </w:p>
    <w:p>
      <w:pPr>
        <w:pStyle w:val="Heading2"/>
        <w:spacing w:after="120" w:before="260"/>
      </w:pPr>
      <w:r>
        <w:rPr>
          <w:rFonts w:ascii="Arial" w:cs="Arial" w:eastAsia="Arial" w:hAnsi="Arial"/>
          <w:b/>
          <w:bCs/>
          <w:color w:val="1F3864"/>
          <w:sz w:val="23"/>
          <w:szCs w:val="23"/>
        </w:rPr>
        <w:t xml:space="preserve">4.1 Candidate invitation — language</w:t>
      </w:r>
    </w:p>
    <w:p>
      <w:pPr>
        <w:spacing w:after="100"/>
      </w:pPr>
      <w:r>
        <w:rPr>
          <w:rFonts w:ascii="Arial" w:cs="Arial" w:eastAsia="Arial" w:hAnsi="Arial"/>
          <w:color w:val="000000"/>
          <w:sz w:val="20"/>
          <w:szCs w:val="20"/>
        </w:rPr>
        <w:t xml:space="preserve">Hi [First name], thank you for your time on our call. The team would like to move you forward to the [stage] for the [Job title] role.</w:t>
      </w:r>
    </w:p>
    <w:p>
      <w:pPr>
        <w:spacing w:after="100"/>
      </w:pPr>
      <w:r>
        <w:rPr>
          <w:rFonts w:ascii="Arial" w:cs="Arial" w:eastAsia="Arial" w:hAnsi="Arial"/>
          <w:color w:val="000000"/>
          <w:sz w:val="20"/>
          <w:szCs w:val="20"/>
        </w:rPr>
        <w:t xml:space="preserve">I have these times available — all shown in [candidate's time zone]: [Option 1], [Option 2], [Option 3]. Let me know which works and I will send the invite.</w:t>
      </w:r>
    </w:p>
    <w:p>
      <w:pPr>
        <w:spacing w:after="100"/>
      </w:pPr>
      <w:r>
        <w:rPr>
          <w:rFonts w:ascii="Arial" w:cs="Arial" w:eastAsia="Arial" w:hAnsi="Arial"/>
          <w:color w:val="000000"/>
          <w:sz w:val="20"/>
          <w:szCs w:val="20"/>
        </w:rPr>
        <w:t xml:space="preserve">The session runs [duration] and you will meet [names and titles]. We will focus on [competencies]. [Bring / prepare: …]. Let me know if you need any accommodations for the interview, and I will arrange them.</w:t>
      </w:r>
    </w:p>
    <w:p>
      <w:pPr>
        <w:spacing w:after="140"/>
      </w:pPr>
      <w:r>
        <w:rPr>
          <w:rFonts w:ascii="Arial" w:cs="Arial" w:eastAsia="Arial" w:hAnsi="Arial"/>
          <w:color w:val="000000"/>
          <w:sz w:val="20"/>
          <w:szCs w:val="20"/>
        </w:rPr>
        <w:t xml:space="preserve">You can reach me directly at [phone] on the day if anything comes up. — [Coordinator name]</w:t>
      </w:r>
    </w:p>
    <w:p>
      <w:pPr>
        <w:spacing w:after="140" w:before="100"/>
      </w:pPr>
      <w:r>
        <w:rPr>
          <w:rFonts w:ascii="Arial" w:cs="Arial" w:eastAsia="Arial" w:hAnsi="Arial"/>
          <w:b/>
          <w:bCs/>
          <w:color w:val="C00000"/>
          <w:sz w:val="18"/>
          <w:szCs w:val="18"/>
        </w:rPr>
        <w:t xml:space="preserve">⚠  Offer the accommodation channel in neutral language every time. Route any specific request to HR and never ask about the underlying condition.</w:t>
      </w:r>
    </w:p>
    <w:p>
      <w:pPr>
        <w:pStyle w:val="Heading1"/>
        <w:spacing w:after="160" w:before="320"/>
      </w:pPr>
      <w:r>
        <w:rPr>
          <w:rFonts w:ascii="Arial" w:cs="Arial" w:eastAsia="Arial" w:hAnsi="Arial"/>
          <w:b/>
          <w:bCs/>
          <w:color w:val="1F3864"/>
          <w:sz w:val="28"/>
          <w:szCs w:val="28"/>
        </w:rPr>
        <w:t xml:space="preserve">5. Debrief agenda</w:t>
      </w:r>
    </w:p>
    <w:p>
      <w:pPr>
        <w:spacing w:after="120"/>
      </w:pPr>
      <w:r>
        <w:rPr>
          <w:rFonts w:ascii="Arial" w:cs="Arial" w:eastAsia="Arial" w:hAnsi="Arial"/>
          <w:i/>
          <w:iCs/>
          <w:color w:val="595959"/>
          <w:sz w:val="18"/>
          <w:szCs w:val="18"/>
        </w:rPr>
        <w:t xml:space="preserve">Schedule the debrief at the same time you book the loop; hold it within 48 hours of the final interview.</w:t>
      </w:r>
    </w:p>
    <w:p>
      <w:pPr>
        <w:pStyle w:val="ListParagraph"/>
        <w:numPr>
          <w:ilvl w:val="0"/>
          <w:numId w:val="3"/>
        </w:numPr>
        <w:spacing w:after="70"/>
      </w:pPr>
      <w:r>
        <w:rPr>
          <w:rFonts w:ascii="Arial" w:cs="Arial" w:eastAsia="Arial" w:hAnsi="Arial"/>
          <w:sz w:val="20"/>
          <w:szCs w:val="20"/>
        </w:rPr>
        <w:t xml:space="preserve">Written scorecards submitted before the meeting. No verbal-only input.</w:t>
      </w:r>
    </w:p>
    <w:p>
      <w:pPr>
        <w:pStyle w:val="ListParagraph"/>
        <w:numPr>
          <w:ilvl w:val="0"/>
          <w:numId w:val="3"/>
        </w:numPr>
        <w:spacing w:after="70"/>
      </w:pPr>
      <w:r>
        <w:rPr>
          <w:rFonts w:ascii="Arial" w:cs="Arial" w:eastAsia="Arial" w:hAnsi="Arial"/>
          <w:sz w:val="20"/>
          <w:szCs w:val="20"/>
        </w:rPr>
        <w:t xml:space="preserve">Round-robin: each interviewer states their independent rating and evidence before any discussion. This ordering is what prevents anchoring.</w:t>
      </w:r>
    </w:p>
    <w:p>
      <w:pPr>
        <w:pStyle w:val="ListParagraph"/>
        <w:numPr>
          <w:ilvl w:val="0"/>
          <w:numId w:val="3"/>
        </w:numPr>
        <w:spacing w:after="70"/>
      </w:pPr>
      <w:r>
        <w:rPr>
          <w:rFonts w:ascii="Arial" w:cs="Arial" w:eastAsia="Arial" w:hAnsi="Arial"/>
          <w:sz w:val="20"/>
          <w:szCs w:val="20"/>
        </w:rPr>
        <w:t xml:space="preserve">Discuss divergences competency by competency, on evidence.</w:t>
      </w:r>
    </w:p>
    <w:p>
      <w:pPr>
        <w:pStyle w:val="ListParagraph"/>
        <w:numPr>
          <w:ilvl w:val="0"/>
          <w:numId w:val="3"/>
        </w:numPr>
        <w:spacing w:after="70"/>
      </w:pPr>
      <w:r>
        <w:rPr>
          <w:rFonts w:ascii="Arial" w:cs="Arial" w:eastAsia="Arial" w:hAnsi="Arial"/>
          <w:sz w:val="20"/>
          <w:szCs w:val="20"/>
        </w:rPr>
        <w:t xml:space="preserve">Decide: Offer / Offer with conditions / Decline / Hold for another requisition.</w:t>
      </w:r>
    </w:p>
    <w:p>
      <w:pPr>
        <w:pStyle w:val="ListParagraph"/>
        <w:numPr>
          <w:ilvl w:val="0"/>
          <w:numId w:val="3"/>
        </w:numPr>
        <w:spacing w:after="70"/>
      </w:pPr>
      <w:r>
        <w:rPr>
          <w:rFonts w:ascii="Arial" w:cs="Arial" w:eastAsia="Arial" w:hAnsi="Arial"/>
          <w:sz w:val="20"/>
          <w:szCs w:val="20"/>
        </w:rPr>
        <w:t xml:space="preserve">Record the rationale in the ATS in job-related terms.</w:t>
      </w:r>
    </w:p>
    <w:p>
      <w:pPr>
        <w:pStyle w:val="ListParagraph"/>
        <w:numPr>
          <w:ilvl w:val="0"/>
          <w:numId w:val="3"/>
        </w:numPr>
        <w:spacing w:after="70"/>
      </w:pPr>
      <w:r>
        <w:rPr>
          <w:rFonts w:ascii="Arial" w:cs="Arial" w:eastAsia="Arial" w:hAnsi="Arial"/>
          <w:sz w:val="20"/>
          <w:szCs w:val="20"/>
        </w:rPr>
        <w:t xml:space="preserve">Assign owners and dates for the offer or the rejection.</w:t>
      </w:r>
    </w:p>
    <w:p>
      <w:pPr>
        <w:spacing w:after="140"/>
      </w:pPr>
      <w:r>
        <w:rPr>
          <w:rFonts w:ascii="Arial" w:cs="Arial" w:eastAsia="Arial" w:hAnsi="Arial"/>
          <w:i/>
          <w:iCs/>
          <w:color w:val="595959"/>
          <w:sz w:val="18"/>
          <w:szCs w:val="18"/>
        </w:rPr>
        <w:t xml:space="preserve">The coordinator owns process, not opinion: keep the room on evidence, interrupt any criterion that was never in the job description, and flag when the bar is being applied unevenly across candidates on the same requisition.</w:t>
      </w:r>
    </w:p>
    <w:p>
      <w:pPr>
        <w:spacing w:after="100"/>
      </w:pPr>
      <w:r>
        <w:rPr>
          <w:rFonts w:ascii="Arial" w:cs="Arial" w:eastAsia="Arial" w:hAnsi="Arial"/>
          <w:b/>
          <w:bCs/>
          <w:sz w:val="20"/>
          <w:szCs w:val="20"/>
        </w:rPr>
        <w:t xml:space="preserve">Decision: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Rationale (job-related):  </w:t>
      </w:r>
      <w:r>
        <w:rPr>
          <w:rFonts w:ascii="Arial" w:cs="Arial" w:eastAsia="Arial" w:hAnsi="Arial"/>
          <w:color w:val="0000FF"/>
          <w:sz w:val="20"/>
          <w:szCs w:val="20"/>
        </w:rPr>
        <w:t xml:space="preserve">[  ]</w:t>
      </w:r>
    </w:p>
    <w:p>
      <w:pPr>
        <w:spacing w:after="100"/>
      </w:pPr>
      <w:r>
        <w:rPr>
          <w:rFonts w:ascii="Arial" w:cs="Arial" w:eastAsia="Arial" w:hAnsi="Arial"/>
          <w:b/>
          <w:bCs/>
          <w:sz w:val="20"/>
          <w:szCs w:val="20"/>
        </w:rPr>
        <w:t xml:space="preserve">Owner / date for next step:  </w:t>
      </w:r>
      <w:r>
        <w:rPr>
          <w:rFonts w:ascii="Arial" w:cs="Arial" w:eastAsia="Arial" w:hAnsi="Arial"/>
          <w:color w:val="0000FF"/>
          <w:sz w:val="20"/>
          <w:szCs w:val="20"/>
        </w:rPr>
        <w:t xml:space="preserve">[  ]</w:t>
      </w:r>
    </w:p>
    <w:p>
      <w:pPr>
        <w:pStyle w:val="Heading1"/>
        <w:spacing w:after="160" w:before="320"/>
      </w:pPr>
      <w:r>
        <w:rPr>
          <w:rFonts w:ascii="Arial" w:cs="Arial" w:eastAsia="Arial" w:hAnsi="Arial"/>
          <w:b/>
          <w:bCs/>
          <w:color w:val="1F3864"/>
          <w:sz w:val="28"/>
          <w:szCs w:val="28"/>
        </w:rPr>
        <w:t xml:space="preserve">6. Escalate — stop and route to HRBP / Employment Counsel</w:t>
      </w:r>
    </w:p>
    <w:p>
      <w:pPr>
        <w:pStyle w:val="ListParagraph"/>
        <w:numPr>
          <w:ilvl w:val="0"/>
          <w:numId w:val="2"/>
        </w:numPr>
        <w:spacing w:after="70"/>
      </w:pPr>
      <w:r>
        <w:rPr>
          <w:rFonts w:ascii="Arial" w:cs="Arial" w:eastAsia="Arial" w:hAnsi="Arial"/>
          <w:color w:val="C00000"/>
          <w:sz w:val="20"/>
          <w:szCs w:val="20"/>
        </w:rPr>
        <w:t xml:space="preserve">Harassment, discrimination or retaliation, at any point in the process.</w:t>
      </w:r>
    </w:p>
    <w:p>
      <w:pPr>
        <w:pStyle w:val="ListParagraph"/>
        <w:numPr>
          <w:ilvl w:val="0"/>
          <w:numId w:val="2"/>
        </w:numPr>
        <w:spacing w:after="70"/>
      </w:pPr>
      <w:r>
        <w:rPr>
          <w:rFonts w:ascii="Arial" w:cs="Arial" w:eastAsia="Arial" w:hAnsi="Arial"/>
          <w:color w:val="C00000"/>
          <w:sz w:val="20"/>
          <w:szCs w:val="20"/>
        </w:rPr>
        <w:t xml:space="preserve">Accommodation or leave request, including anything that hints at one.</w:t>
      </w:r>
    </w:p>
    <w:p>
      <w:pPr>
        <w:pStyle w:val="ListParagraph"/>
        <w:numPr>
          <w:ilvl w:val="0"/>
          <w:numId w:val="2"/>
        </w:numPr>
        <w:spacing w:after="70"/>
      </w:pPr>
      <w:r>
        <w:rPr>
          <w:rFonts w:ascii="Arial" w:cs="Arial" w:eastAsia="Arial" w:hAnsi="Arial"/>
          <w:color w:val="C00000"/>
          <w:sz w:val="20"/>
          <w:szCs w:val="20"/>
        </w:rPr>
        <w:t xml:space="preserve">Wage-and-hour concern, including off-the-clock work or meal-break patterns.</w:t>
      </w:r>
    </w:p>
    <w:p>
      <w:pPr>
        <w:pStyle w:val="ListParagraph"/>
        <w:numPr>
          <w:ilvl w:val="0"/>
          <w:numId w:val="2"/>
        </w:numPr>
        <w:spacing w:after="70"/>
      </w:pPr>
      <w:r>
        <w:rPr>
          <w:rFonts w:ascii="Arial" w:cs="Arial" w:eastAsia="Arial" w:hAnsi="Arial"/>
          <w:color w:val="C00000"/>
          <w:sz w:val="20"/>
          <w:szCs w:val="20"/>
        </w:rPr>
        <w:t xml:space="preserve">Adverse background finding — never issue an adverse action letter unilaterally.</w:t>
      </w:r>
    </w:p>
    <w:p>
      <w:pPr>
        <w:pStyle w:val="ListParagraph"/>
        <w:numPr>
          <w:ilvl w:val="0"/>
          <w:numId w:val="2"/>
        </w:numPr>
        <w:spacing w:after="70"/>
      </w:pPr>
      <w:r>
        <w:rPr>
          <w:rFonts w:ascii="Arial" w:cs="Arial" w:eastAsia="Arial" w:hAnsi="Arial"/>
          <w:color w:val="C00000"/>
          <w:sz w:val="20"/>
          <w:szCs w:val="20"/>
        </w:rPr>
        <w:t xml:space="preserve">Immigration sponsorship, union or protected concerted activity, or a threatened claim.</w:t>
      </w:r>
    </w:p>
    <w:p>
      <w:pPr>
        <w:pStyle w:val="ListParagraph"/>
        <w:numPr>
          <w:ilvl w:val="0"/>
          <w:numId w:val="2"/>
        </w:numPr>
        <w:spacing w:after="70"/>
      </w:pPr>
      <w:r>
        <w:rPr>
          <w:rFonts w:ascii="Arial" w:cs="Arial" w:eastAsia="Arial" w:hAnsi="Arial"/>
          <w:color w:val="C00000"/>
          <w:sz w:val="20"/>
          <w:szCs w:val="20"/>
        </w:rPr>
        <w:t xml:space="preserve">Any request to screen on a protected characteristic, however it is phrased.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Hiring Intake &amp; Screening Kit — internal use.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2026-08-16T18:13:31.209Z</dcterms:created>
  <dcterms:modified xsi:type="dcterms:W3CDTF">2026-08-16T18:13:31.209Z</dcterms:modified>
</cp:coreProperties>
</file>

<file path=docProps/custom.xml><?xml version="1.0" encoding="utf-8"?>
<Properties xmlns="http://schemas.openxmlformats.org/officeDocument/2006/custom-properties" xmlns:vt="http://schemas.openxmlformats.org/officeDocument/2006/docPropsVTypes"/>
</file>