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360" w:line="26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8"/>
        </w:rPr>
        <w:t>Asistente Virtual: Jarvis</w:t>
      </w:r>
    </w:p>
    <w:p>
      <w:pPr>
        <w:spacing w:before="0" w:after="100" w:line="26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Integrantes:</w:t>
      </w:r>
    </w:p>
    <w:p>
      <w:pPr>
        <w:spacing w:before="0" w:after="800" w:line="26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Juan Esteban Rubio</w:t>
      </w:r>
    </w:p>
    <w:p>
      <w:pPr>
        <w:spacing w:before="0" w:after="100" w:line="26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Profesor:</w:t>
      </w:r>
    </w:p>
    <w:p>
      <w:pPr>
        <w:spacing w:before="0" w:after="840" w:line="26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Santiago Rivadeneira</w:t>
      </w:r>
    </w:p>
    <w:p>
      <w:pPr>
        <w:spacing w:before="0" w:after="100" w:line="26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Facultad de Ingeniería</w:t>
      </w:r>
    </w:p>
    <w:p>
      <w:pPr>
        <w:spacing w:before="0" w:after="100" w:line="26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Desarrollo Móvil</w:t>
      </w:r>
    </w:p>
    <w:p>
      <w:pPr>
        <w:spacing w:before="960" w:after="0" w:line="26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Chía, 2026</w:t>
      </w:r>
    </w:p>
    <w:p>
      <w:r>
        <w:br w:type="page"/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1 Propósito y alcance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Este documento describe la arquitectura implementada de JARVIS, un asistente móvil para organización académica y finanzas personales. La solución integra React Native y Expo en el teléfono, FastAPI en un servidor local, un orquestador con function calling, agentes especializados, PostgreSQL y Tailscale para conectividad privada.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teléfono conserva la captura de voz, la síntesis de voz, la presentación de resultados y la confirmación explícita. El servidor concentra la lógica de negocio, la persistencia personal y la inferencia del modo evaluado. Esta separación evita que el móvil tenga acceso SQL o credenciales de base de datos.</w:t>
      </w:r>
    </w:p>
    <w:p>
      <w:pPr>
        <w:keepNext/>
        <w:spacing w:before="18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1.1 Alcance implementado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Aplicación React Native y Expo con dictado Android, TTS, respuestas estructuradas y estados de conversación.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Backend REST FastAPI, autenticación Bearer, orquestador, agentes de Secretaría y Finanzas y propuestas idempotentes.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PostgreSQL para perfil, recuerdos, conversaciones, agenda, tareas, transacciones, cuentas, pasivos, presupuestos y metas.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Tailscale Serve como canal HTTPS privado y webhook bancario con token independiente.</w:t>
      </w:r>
    </w:p>
    <w:p>
      <w:pPr>
        <w:keepNext/>
        <w:spacing w:before="18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1.2 Dependencias operativas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La rutina Android de cero fricción requiere una configuración real de Tasker, MacroDroid o NotificationListener con permisos concedidos.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La lectura de correo requiere una cuenta IMAP configurada. El envío no es automático: se generan borradores sujetos a confirmación.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Reconocimiento de voz, TTS y conectividad de la tailnet dependen del dispositivo y de sus servicios habilitados.</w:t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2 Trazabilidad con la rúbrica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2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4752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Arquitectura implementada</w:t>
            </w:r>
          </w:p>
        </w:tc>
        <w:tc>
          <w:tcPr>
            <w:tcW w:type="dxa" w:w="2736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Voz y aplicación móvil</w:t>
            </w:r>
          </w:p>
        </w:tc>
        <w:tc>
          <w:tcPr>
            <w:tcW w:type="dxa" w:w="47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Expo, React Native, RecognizerIntent Android, expo-speech, interfaz de propuestas.</w:t>
            </w:r>
          </w:p>
        </w:tc>
        <w:tc>
          <w:tcPr>
            <w:tcW w:type="dxa" w:w="273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Servicios de voz, conversación y pruebas de interfaz.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Orquestador multi agente</w:t>
            </w:r>
          </w:p>
        </w:tc>
        <w:tc>
          <w:tcPr>
            <w:tcW w:type="dxa" w:w="475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FastAPI, catálogo cerrado de herramientas, Ollama function calling, rutas secretary, financial y composite.</w:t>
            </w:r>
          </w:p>
        </w:tc>
        <w:tc>
          <w:tcPr>
            <w:tcW w:type="dxa" w:w="273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backend/app/orchestrator.py y agents.py.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Pagos cero fricción</w:t>
            </w:r>
          </w:p>
        </w:tc>
        <w:tc>
          <w:tcPr>
            <w:tcW w:type="dxa" w:w="47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Webhook tipado, token dedicado, event_id idempotente y extracción JSON.</w:t>
            </w:r>
          </w:p>
        </w:tc>
        <w:tc>
          <w:tcPr>
            <w:tcW w:type="dxa" w:w="273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bank_ingestion.py y contrato HTTP.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Tailscale y seguridad</w:t>
            </w:r>
          </w:p>
        </w:tc>
        <w:tc>
          <w:tcPr>
            <w:tcW w:type="dxa" w:w="475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FastAPI en localhost, Tailscale Serve HTTPS, sin Funnel ni puertos públicos.</w:t>
            </w:r>
          </w:p>
        </w:tc>
        <w:tc>
          <w:tcPr>
            <w:tcW w:type="dxa" w:w="273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Scripts de configuración y cliente móvil.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Persistencia relacional</w:t>
            </w:r>
          </w:p>
        </w:tc>
        <w:tc>
          <w:tcPr>
            <w:tcW w:type="dxa" w:w="47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PostgreSQL con migraciones, FK, checks, índices y repositorios.</w:t>
            </w:r>
          </w:p>
        </w:tc>
        <w:tc>
          <w:tcPr>
            <w:tcW w:type="dxa" w:w="273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database.py y repositories.py.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3 Topología y fronteras de confianza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móvil no accede directamente a la base de datos. Tailscale publica una ruta HTTPS exclusivamente dentro de la tailnet y hace proxy al backend que escucha en localhost. El webhook bancario usa la misma red privada, pero posee una credencial distinta de la aplicación móvil.</w:t>
      </w:r>
    </w:p>
    <w:p>
      <w:r>
        <w:drawing>
          <wp:inline xmlns:a="http://schemas.openxmlformats.org/drawingml/2006/main" xmlns:pic="http://schemas.openxmlformats.org/drawingml/2006/picture">
            <wp:extent cx="6217920" cy="3070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70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6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52616B"/>
          <w:sz w:val="17"/>
        </w:rPr>
        <w:t>Figura 1. Topología lógica, actores externos y fronteras de confianza.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2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4536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Responsabilidad</w:t>
            </w:r>
          </w:p>
        </w:tc>
        <w:tc>
          <w:tcPr>
            <w:tcW w:type="dxa" w:w="3096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Restricción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Móvil</w:t>
            </w:r>
          </w:p>
        </w:tc>
        <w:tc>
          <w:tcPr>
            <w:tcW w:type="dxa" w:w="453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Voz, UI, confirmación y preferencias.</w:t>
            </w:r>
          </w:p>
        </w:tc>
        <w:tc>
          <w:tcPr>
            <w:tcW w:type="dxa" w:w="309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No ejecuta SQL remoto ni conserva secretos de base de datos.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Tailscale</w:t>
            </w:r>
          </w:p>
        </w:tc>
        <w:tc>
          <w:tcPr>
            <w:tcW w:type="dxa" w:w="453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Canal mesh privado y proxy HTTPS.</w:t>
            </w:r>
          </w:p>
        </w:tc>
        <w:tc>
          <w:tcPr>
            <w:tcW w:type="dxa" w:w="309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No habilita Funnel ni abre puertos del router.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FastAPI</w:t>
            </w:r>
          </w:p>
        </w:tc>
        <w:tc>
          <w:tcPr>
            <w:tcW w:type="dxa" w:w="453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Validación HTTP, autenticación, propuestas y webhook.</w:t>
            </w:r>
          </w:p>
        </w:tc>
        <w:tc>
          <w:tcPr>
            <w:tcW w:type="dxa" w:w="309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No permite que el LLM elija código o SQL arbitrario.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Orquestador y agentes</w:t>
            </w:r>
          </w:p>
        </w:tc>
        <w:tc>
          <w:tcPr>
            <w:tcW w:type="dxa" w:w="453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Selección de herramientas y reglas de Secretaría o Finanzas.</w:t>
            </w:r>
          </w:p>
        </w:tc>
        <w:tc>
          <w:tcPr>
            <w:tcW w:type="dxa" w:w="309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Las escrituras conversacionales requieren confirmación.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PostgreSQL</w:t>
            </w:r>
          </w:p>
        </w:tc>
        <w:tc>
          <w:tcPr>
            <w:tcW w:type="dxa" w:w="453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Fuente de verdad del modo Servidor.</w:t>
            </w:r>
          </w:p>
        </w:tc>
        <w:tc>
          <w:tcPr>
            <w:tcW w:type="dxa" w:w="309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No es accesible desde el teléfono.</w:t>
            </w:r>
          </w:p>
        </w:tc>
      </w:tr>
    </w:tbl>
    <w:p>
      <w:pPr>
        <w:spacing w:after="20"/>
      </w:pP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4 Arquitectura del cliente móvil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Expo Router organiza Inicio, Tareas, JARVIS, Agenda y Perfil. Los componentes se concentran en presentación; engines y lib alojan cálculos puros; los servicios de almacenamiento encapsulan SQLite local, AsyncStorage y la adaptación del workspace remoto. WorkspaceProvider sustituye las vistas académicas y financieras por el snapshot autenticado cuando el modo Servidor está activo.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2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4680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Función</w:t>
            </w:r>
          </w:p>
        </w:tc>
        <w:tc>
          <w:tcPr>
            <w:tcW w:type="dxa" w:w="280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Dependencia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src/app y src/features</w:t>
            </w:r>
          </w:p>
        </w:tc>
        <w:tc>
          <w:tcPr>
            <w:tcW w:type="dxa" w:w="46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Pantallas, rutas, composición visual y comportamiento de presentación.</w:t>
            </w:r>
          </w:p>
        </w:tc>
        <w:tc>
          <w:tcPr>
            <w:tcW w:type="dxa" w:w="28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React Native y Expo Router.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src/services/voice</w:t>
            </w:r>
          </w:p>
        </w:tc>
        <w:tc>
          <w:tcPr>
            <w:tcW w:type="dxa" w:w="468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Dictado Android y respuesta hablada.</w:t>
            </w:r>
          </w:p>
        </w:tc>
        <w:tc>
          <w:tcPr>
            <w:tcW w:type="dxa" w:w="28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Servicio de reconocimiento y TTS del sistema.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src/services/backend</w:t>
            </w:r>
          </w:p>
        </w:tc>
        <w:tc>
          <w:tcPr>
            <w:tcW w:type="dxa" w:w="46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Cliente HTTP tipado, timeout, Bearer y errores comprensibles.</w:t>
            </w:r>
          </w:p>
        </w:tc>
        <w:tc>
          <w:tcPr>
            <w:tcW w:type="dxa" w:w="28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FastAPI por URL Tailscale.</w:t>
            </w:r>
          </w:p>
        </w:tc>
      </w:tr>
      <w:tr>
        <w:trPr>
          <w:cantSplit/>
        </w:trPr>
        <w:tc>
          <w:tcPr>
            <w:tcW w:type="dxa" w:w="187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src/services/storage</w:t>
            </w:r>
          </w:p>
        </w:tc>
        <w:tc>
          <w:tcPr>
            <w:tcW w:type="dxa" w:w="468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SQLite local, preferencias y caché mínima de identidad confirmada.</w:t>
            </w:r>
          </w:p>
        </w:tc>
        <w:tc>
          <w:tcPr>
            <w:tcW w:type="dxa" w:w="28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Almacenamiento del dispositivo.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src/features/jarvis</w:t>
            </w:r>
          </w:p>
        </w:tc>
        <w:tc>
          <w:tcPr>
            <w:tcW w:type="dxa" w:w="46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Mensajes, evidencias de herramientas, propuestas y reintentos.</w:t>
            </w:r>
          </w:p>
        </w:tc>
        <w:tc>
          <w:tcPr>
            <w:tcW w:type="dxa" w:w="28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request_id y conversation_id.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deep link jarvis://talk abre la conversación y solicita dictado en una instalación nativa. Es un acceso rápido de voz y no reemplaza la automatización bancaria de cero fricción.</w:t>
      </w:r>
    </w:p>
    <w:p>
      <w:r>
        <w:br w:type="page"/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5 Secuencia de comando por voz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Los mensajes escritos y dictados comparten el mismo flujo. El cliente envía texto junto con request_id y conversation_id. El backend devuelve mensaje, ruta, resultados de herramientas y propuestas pendientes. Un cambio se persiste únicamente después de que el usuario confirma la propuesta.</w:t>
      </w:r>
    </w:p>
    <w:p>
      <w:r>
        <w:drawing>
          <wp:inline xmlns:a="http://schemas.openxmlformats.org/drawingml/2006/main" xmlns:pic="http://schemas.openxmlformats.org/drawingml/2006/picture">
            <wp:extent cx="6217920" cy="3808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08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6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52616B"/>
          <w:sz w:val="17"/>
        </w:rPr>
        <w:t>Figura 2. Secuencia de una orden por voz con confirmación y recarga de workspace.</w:t>
      </w:r>
    </w:p>
    <w:p>
      <w:pPr>
        <w:keepNext/>
        <w:spacing w:before="18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5.1 Consistencia e idempotencia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request_id se reutiliza en un reintento para no ejecutar dos veces la misma operación.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Las propuestas pasan por los estados pending, confirmed o cancelled y devuelven replayed cuando la confirmación ya fue aplicada.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Tras confirmar, el móvil solicita el workspace del mes para reflejar el estado persistido del servidor.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orquestador no acepta que el modelo simule una propuesta en texto: debe invocar una herramienta para producir una confirmación válida.</w:t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6 Orquestador y agentes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orquestador entrega al LLM un catálogo cerrado de funciones con esquemas Pydantic. Las llamadas se validan y se delegan a un agente. La ruta es Secretaría, Finanzas o Composite según las herramientas utilizadas. Los resultados externos se devuelven al LLM como datos delimitados, nunca como instrucciones ejecutables.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656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Agente</w:t>
            </w:r>
          </w:p>
        </w:tc>
        <w:tc>
          <w:tcPr>
            <w:tcW w:type="dxa" w:w="4752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Capacidades</w:t>
            </w:r>
          </w:p>
        </w:tc>
        <w:tc>
          <w:tcPr>
            <w:tcW w:type="dxa" w:w="2952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Secretaría</w:t>
            </w:r>
          </w:p>
        </w:tc>
        <w:tc>
          <w:tcPr>
            <w:tcW w:type="dxa" w:w="47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Materias, tareas, agenda, recordatorios, lectura IMAP y borradores.</w:t>
            </w:r>
          </w:p>
        </w:tc>
        <w:tc>
          <w:tcPr>
            <w:tcW w:type="dxa" w:w="29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Correo de solo lectura; borradores y cambios con confirmación.</w:t>
            </w:r>
          </w:p>
        </w:tc>
      </w:tr>
      <w:tr>
        <w:trPr>
          <w:cantSplit/>
        </w:trPr>
        <w:tc>
          <w:tcPr>
            <w:tcW w:type="dxa" w:w="165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Finanzas</w:t>
            </w:r>
          </w:p>
        </w:tc>
        <w:tc>
          <w:tcPr>
            <w:tcW w:type="dxa" w:w="475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Ingresos, gastos, presupuesto, flujo de caja, tarjetas, préstamos e inversión de metas.</w:t>
            </w:r>
          </w:p>
        </w:tc>
        <w:tc>
          <w:tcPr>
            <w:tcW w:type="dxa" w:w="2952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Importes exactos, categorías y tipos validados.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Composite</w:t>
            </w:r>
          </w:p>
        </w:tc>
        <w:tc>
          <w:tcPr>
            <w:tcW w:type="dxa" w:w="47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Combina respuestas académicas y financieras.</w:t>
            </w:r>
          </w:p>
        </w:tc>
        <w:tc>
          <w:tcPr>
            <w:tcW w:type="dxa" w:w="2952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Conserva las validaciones de cada dominio.</w:t>
            </w:r>
          </w:p>
        </w:tc>
      </w:tr>
    </w:tbl>
    <w:p>
      <w:pPr>
        <w:spacing w:after="20"/>
      </w:pP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7 Ingestión bancaria de cero fricción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Tasker, MacroDroid o un NotificationListener puede detectar una notificación o correo bancario y enviar event_id, source y raw_text al webhook privado. El backend reserva el evento, solicita una extracción JSON de monto, moneda, comercio, fecha, medio de pago y categoría, y registra la transacción solo si la extracción satisface el umbral y las validaciones.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4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532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Contrato</w:t>
            </w:r>
          </w:p>
        </w:tc>
        <w:tc>
          <w:tcPr>
            <w:tcW w:type="dxa" w:w="244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Detección</w:t>
            </w:r>
          </w:p>
        </w:tc>
        <w:tc>
          <w:tcPr>
            <w:tcW w:type="dxa" w:w="532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Regla Android para notificación o correo de la entidad.</w:t>
            </w:r>
          </w:p>
        </w:tc>
        <w:tc>
          <w:tcPr>
            <w:tcW w:type="dxa" w:w="244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Texto disponible sin guardar credenciales bancarias.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Envío</w:t>
            </w:r>
          </w:p>
        </w:tc>
        <w:tc>
          <w:tcPr>
            <w:tcW w:type="dxa" w:w="532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POST /v1/webhooks/bank-events, X-Jarvis-Webhook-Token y event_id.</w:t>
            </w:r>
          </w:p>
        </w:tc>
        <w:tc>
          <w:tcPr>
            <w:tcW w:type="dxa" w:w="244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Canal HTTPS privado por Tailscale.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Extracción</w:t>
            </w:r>
          </w:p>
        </w:tc>
        <w:tc>
          <w:tcPr>
            <w:tcW w:type="dxa" w:w="532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Salida JSON estructurada con confidence y campos tipados.</w:t>
            </w:r>
          </w:p>
        </w:tc>
        <w:tc>
          <w:tcPr>
            <w:tcW w:type="dxa" w:w="244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Objeto validado o evento ignored.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Persistencia</w:t>
            </w:r>
          </w:p>
        </w:tc>
        <w:tc>
          <w:tcPr>
            <w:tcW w:type="dxa" w:w="532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Reserva idempotente y vínculo único evento-transacción.</w:t>
            </w:r>
          </w:p>
        </w:tc>
        <w:tc>
          <w:tcPr>
            <w:tcW w:type="dxa" w:w="244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created, duplicate o ignored; sin duplicados.</w:t>
            </w:r>
          </w:p>
        </w:tc>
      </w:tr>
    </w:tbl>
    <w:p>
      <w:pPr>
        <w:spacing w:after="20"/>
      </w:pP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webhook constituye autorización previa de la automatización autenticada y puede insertar directamente. Esta excepción no aplica a órdenes conversacionales, que siempre se presentan para confirmación humana.</w:t>
      </w:r>
    </w:p>
    <w:p>
      <w:r>
        <w:br w:type="page"/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8 Despliegue y conectividad privada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FastAPI escucha por defecto en 127.0.0.1:8787. Tailscale Serve expone una URL HTTPS privada y reenvía a ese puerto local. El Android debe tener Tailscale activo y estar en la misma tailnet para resolver MagicDNS. Esta configuración permite operar desde datos móviles sin exponer el backend a Internet público.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4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5256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Configuración</w:t>
            </w:r>
          </w:p>
        </w:tc>
        <w:tc>
          <w:tcPr>
            <w:tcW w:type="dxa" w:w="2520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Backend</w:t>
            </w:r>
          </w:p>
        </w:tc>
        <w:tc>
          <w:tcPr>
            <w:tcW w:type="dxa" w:w="525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npm run backend:start con secretos DPAPI y conexión PostgreSQL.</w:t>
            </w:r>
          </w:p>
        </w:tc>
        <w:tc>
          <w:tcPr>
            <w:tcW w:type="dxa" w:w="252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GET /health retorna status ok.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Tailscale</w:t>
            </w:r>
          </w:p>
        </w:tc>
        <w:tc>
          <w:tcPr>
            <w:tcW w:type="dxa" w:w="525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npm run backend:tailscale configura Serve hacia 8787.</w:t>
            </w:r>
          </w:p>
        </w:tc>
        <w:tc>
          <w:tcPr>
            <w:tcW w:type="dxa" w:w="252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tailscale serve status indica tailnet only.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Móvil</w:t>
            </w:r>
          </w:p>
        </w:tc>
        <w:tc>
          <w:tcPr>
            <w:tcW w:type="dxa" w:w="525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Modo Servidor con URL MagicDNS y token enmascarado.</w:t>
            </w:r>
          </w:p>
        </w:tc>
        <w:tc>
          <w:tcPr>
            <w:tcW w:type="dxa" w:w="252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GET /v1/agents/status desde el teléfono.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Ollama</w:t>
            </w:r>
          </w:p>
        </w:tc>
        <w:tc>
          <w:tcPr>
            <w:tcW w:type="dxa" w:w="525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URL y modelo configurables detrás del backend.</w:t>
            </w:r>
          </w:p>
        </w:tc>
        <w:tc>
          <w:tcPr>
            <w:tcW w:type="dxa" w:w="252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Estado available, unavailable o error.</w:t>
            </w:r>
          </w:p>
        </w:tc>
      </w:tr>
    </w:tbl>
    <w:p>
      <w:pPr>
        <w:spacing w:after="20"/>
      </w:pPr>
    </w:p>
    <w:p>
      <w:pPr>
        <w:keepNext/>
        <w:spacing w:before="18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8.1 Manejo de fallos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cliente diferencia timeout, error de red y error de resolución de host privado; este último indica que Tailscale debe activarse en el teléfono.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La app conserva solo nombre, id y zona horaria confirmados para mantener el saludo sin conexión. Memorias, tareas y finanzas siguen en el servidor.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El backend no inicia sin tokens y base de datos válidos; los argumentos de las herramientas se validan antes de persistir.</w:t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9 Modelo relacional implementado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PostgreSQL es la fuente de verdad en modo Servidor. SQLAlchemy y los repositorios encapsulan acceso; las migraciones son transaccionales y versionadas. SQLite permanece en el móvil para modo local y pruebas aisladas, no como réplica de los datos personales del servidor.</w:t>
      </w:r>
    </w:p>
    <w:p>
      <w:r>
        <w:drawing>
          <wp:inline xmlns:a="http://schemas.openxmlformats.org/drawingml/2006/main" xmlns:pic="http://schemas.openxmlformats.org/drawingml/2006/picture">
            <wp:extent cx="6217920" cy="3575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al_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69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52616B"/>
          <w:sz w:val="17"/>
        </w:rPr>
        <w:t>Figura 3. Entidades principales y relaciones del modelo de datos implementado.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44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Grupo</w:t>
            </w:r>
          </w:p>
        </w:tc>
        <w:tc>
          <w:tcPr>
            <w:tcW w:type="dxa" w:w="4896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Relaciones</w:t>
            </w:r>
          </w:p>
        </w:tc>
        <w:tc>
          <w:tcPr>
            <w:tcW w:type="dxa" w:w="2520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Integridad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Identidad y memoria</w:t>
            </w:r>
          </w:p>
        </w:tc>
        <w:tc>
          <w:tcPr>
            <w:tcW w:type="dxa" w:w="489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users 1 a 1 user_profiles; users 1 a N memories y conversations.</w:t>
            </w:r>
          </w:p>
        </w:tc>
        <w:tc>
          <w:tcPr>
            <w:tcW w:type="dxa" w:w="252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FK, límites de longitud, estados, importancia y borrado lógico.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Académico</w:t>
            </w:r>
          </w:p>
        </w:tc>
        <w:tc>
          <w:tcPr>
            <w:tcW w:type="dxa" w:w="489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academic_subjects 1 a N tasks y calendar_events.</w:t>
            </w:r>
          </w:p>
        </w:tc>
        <w:tc>
          <w:tcPr>
            <w:tcW w:type="dxa" w:w="252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Nombre normalizado único, prioridad y estado restringidos.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Finanzas</w:t>
            </w:r>
          </w:p>
        </w:tc>
        <w:tc>
          <w:tcPr>
            <w:tcW w:type="dxa" w:w="4896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financial_accounts 1 a N transactions; presupuesto por usuario y mes.</w:t>
            </w:r>
          </w:p>
        </w:tc>
        <w:tc>
          <w:tcPr>
            <w:tcW w:type="dxa" w:w="252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BIGINT positivo, moneda ISO, límites y checks de interés.</w:t>
            </w:r>
          </w:p>
        </w:tc>
      </w:tr>
      <w:tr>
        <w:trPr>
          <w:cantSplit/>
        </w:trPr>
        <w:tc>
          <w:tcPr>
            <w:tcW w:type="dxa" w:w="194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Automatización</w:t>
            </w:r>
          </w:p>
        </w:tc>
        <w:tc>
          <w:tcPr>
            <w:tcW w:type="dxa" w:w="4896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bank_ingestion_events 0 a 1 transactions; proposed_actions representa confirmación.</w:t>
            </w:r>
          </w:p>
        </w:tc>
        <w:tc>
          <w:tcPr>
            <w:tcW w:type="dxa" w:w="252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event_id, vínculo de ingesta y hash de solicitud únicos.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10 API, seguridad y privacidad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80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Endpoint</w:t>
            </w:r>
          </w:p>
        </w:tc>
        <w:tc>
          <w:tcPr>
            <w:tcW w:type="dxa" w:w="1944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Autenticación</w:t>
            </w:r>
          </w:p>
        </w:tc>
        <w:tc>
          <w:tcPr>
            <w:tcW w:type="dxa" w:w="460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GET /health</w:t>
            </w:r>
          </w:p>
        </w:tc>
        <w:tc>
          <w:tcPr>
            <w:tcW w:type="dxa" w:w="194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Ninguna</w:t>
            </w:r>
          </w:p>
        </w:tc>
        <w:tc>
          <w:tcPr>
            <w:tcW w:type="dxa" w:w="46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Liveness mínimo del backend.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GET /v1/agents/status</w:t>
            </w:r>
          </w:p>
        </w:tc>
        <w:tc>
          <w:tcPr>
            <w:tcW w:type="dxa" w:w="194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Bearer API</w:t>
            </w:r>
          </w:p>
        </w:tc>
        <w:tc>
          <w:tcPr>
            <w:tcW w:type="dxa" w:w="46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Estado de backend, LLM, correo, base y modelo.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POST /v1/assistant/messages</w:t>
            </w:r>
          </w:p>
        </w:tc>
        <w:tc>
          <w:tcPr>
            <w:tcW w:type="dxa" w:w="194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Bearer API</w:t>
            </w:r>
          </w:p>
        </w:tc>
        <w:tc>
          <w:tcPr>
            <w:tcW w:type="dxa" w:w="46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Mensaje, request_id y conversation_id opcional.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POST /v1/actions/{id}/confirm</w:t>
            </w:r>
          </w:p>
        </w:tc>
        <w:tc>
          <w:tcPr>
            <w:tcW w:type="dxa" w:w="194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Bearer API</w:t>
            </w:r>
          </w:p>
        </w:tc>
        <w:tc>
          <w:tcPr>
            <w:tcW w:type="dxa" w:w="46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Confirmación idempotente de propuesta.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GET /v1/workspace</w:t>
            </w:r>
          </w:p>
        </w:tc>
        <w:tc>
          <w:tcPr>
            <w:tcW w:type="dxa" w:w="194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Bearer API</w:t>
            </w:r>
          </w:p>
        </w:tc>
        <w:tc>
          <w:tcPr>
            <w:tcW w:type="dxa" w:w="46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Snapshot mensual autenticado.</w:t>
            </w:r>
          </w:p>
        </w:tc>
      </w:tr>
      <w:tr>
        <w:trPr>
          <w:cantSplit/>
        </w:trPr>
        <w:tc>
          <w:tcPr>
            <w:tcW w:type="dxa" w:w="288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GET PATCH /v1/profile y memorias</w:t>
            </w:r>
          </w:p>
        </w:tc>
        <w:tc>
          <w:tcPr>
            <w:tcW w:type="dxa" w:w="194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Bearer API</w:t>
            </w:r>
          </w:p>
        </w:tc>
        <w:tc>
          <w:tcPr>
            <w:tcW w:type="dxa" w:w="46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Perfil y memoria personal explícita.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POST /v1/webhooks/bank-events</w:t>
            </w:r>
          </w:p>
        </w:tc>
        <w:tc>
          <w:tcPr>
            <w:tcW w:type="dxa" w:w="194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Webhook token</w:t>
            </w:r>
          </w:p>
        </w:tc>
        <w:tc>
          <w:tcPr>
            <w:tcW w:type="dxa" w:w="46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Ingesta bancaria automatizada.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24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Riesgo</w:t>
            </w:r>
          </w:p>
        </w:tc>
        <w:tc>
          <w:tcPr>
            <w:tcW w:type="dxa" w:w="640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Control implementado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Exposición del backend</w:t>
            </w:r>
          </w:p>
        </w:tc>
        <w:tc>
          <w:tcPr>
            <w:tcW w:type="dxa" w:w="64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localhost más Tailscale Serve; sin Funnel ni puerto público.</w:t>
            </w:r>
          </w:p>
        </w:tc>
      </w:tr>
      <w:tr>
        <w:trPr>
          <w:cantSplit/>
        </w:trPr>
        <w:tc>
          <w:tcPr>
            <w:tcW w:type="dxa" w:w="302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Herramientas invocadas por el LLM</w:t>
            </w:r>
          </w:p>
        </w:tc>
        <w:tc>
          <w:tcPr>
            <w:tcW w:type="dxa" w:w="64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Catálogo cerrado, esquemas Pydantic y reglas de dominio.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Cambios accidentales</w:t>
            </w:r>
          </w:p>
        </w:tc>
        <w:tc>
          <w:tcPr>
            <w:tcW w:type="dxa" w:w="64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Propuestas explícitas, confirmación, recibos atómicos e idempotencia.</w:t>
            </w:r>
          </w:p>
        </w:tc>
      </w:tr>
      <w:tr>
        <w:trPr>
          <w:cantSplit/>
        </w:trPr>
        <w:tc>
          <w:tcPr>
            <w:tcW w:type="dxa" w:w="302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Secretos</w:t>
            </w:r>
          </w:p>
        </w:tc>
        <w:tc>
          <w:tcPr>
            <w:tcW w:type="dxa" w:w="640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Variables y DPAPI fuera del repositorio; tokens separados y enmascarados.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Datos bancarios</w:t>
            </w:r>
          </w:p>
        </w:tc>
        <w:tc>
          <w:tcPr>
            <w:tcW w:type="dxa" w:w="640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Persistencia limitada al hash y extracción estructurada necesaria.</w:t>
            </w:r>
          </w:p>
        </w:tc>
      </w:tr>
    </w:tbl>
    <w:p>
      <w:pPr>
        <w:spacing w:after="20"/>
      </w:pPr>
    </w:p>
    <w:p>
      <w:pPr>
        <w:keepNext/>
        <w:spacing w:before="30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11 Validación y demostración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Las pruebas automatizadas validan dominio, cliente, backend, persistencia, propuestas, reintentos y estados móviles. La evidencia física necesaria para el taller se obtiene en un Android con dictado y Tailscale habilitados, una conexión por datos móviles y una automatización bancaria configurada.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4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Nivel</w:t>
            </w:r>
          </w:p>
        </w:tc>
        <w:tc>
          <w:tcPr>
            <w:tcW w:type="dxa" w:w="5400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Cobertura</w:t>
            </w:r>
          </w:p>
        </w:tc>
        <w:tc>
          <w:tcPr>
            <w:tcW w:type="dxa" w:w="2448"/>
            <w:shd w:fill="183B63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Unitario</w:t>
            </w:r>
          </w:p>
        </w:tc>
        <w:tc>
          <w:tcPr>
            <w:tcW w:type="dxa" w:w="540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Importes, fechas Bogotá, validadores y reglas de negocio.</w:t>
            </w:r>
          </w:p>
        </w:tc>
        <w:tc>
          <w:tcPr>
            <w:tcW w:type="dxa" w:w="244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npm test.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Backend</w:t>
            </w:r>
          </w:p>
        </w:tc>
        <w:tc>
          <w:tcPr>
            <w:tcW w:type="dxa" w:w="540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API, seguridad, herramientas, propuestas y persistencia.</w:t>
            </w:r>
          </w:p>
        </w:tc>
        <w:tc>
          <w:tcPr>
            <w:tcW w:type="dxa" w:w="244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npm run test:backend.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Móvil</w:t>
            </w:r>
          </w:p>
        </w:tc>
        <w:tc>
          <w:tcPr>
            <w:tcW w:type="dxa" w:w="5400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Modo servidor, perfiles, memoria, retry, voz y propuestas.</w:t>
            </w:r>
          </w:p>
        </w:tc>
        <w:tc>
          <w:tcPr>
            <w:tcW w:type="dxa" w:w="2448"/>
            <w:shd w:fill="FFFFFF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Jest y React Native Testing Library.</w:t>
            </w:r>
          </w:p>
        </w:tc>
      </w:tr>
      <w:tr>
        <w:trPr>
          <w:cantSplit/>
        </w:trPr>
        <w:tc>
          <w:tcPr>
            <w:tcW w:type="dxa" w:w="1584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Dispositivo</w:t>
            </w:r>
          </w:p>
        </w:tc>
        <w:tc>
          <w:tcPr>
            <w:tcW w:type="dxa" w:w="5400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TTS, dictado, Tailscale remoto y webhook bancario.</w:t>
            </w:r>
          </w:p>
        </w:tc>
        <w:tc>
          <w:tcPr>
            <w:tcW w:type="dxa" w:w="2448"/>
            <w:shd w:fill="F4F7FA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tcMar>
              <w:top w:w="85" w:type="dxa"/>
              <w:start w:w="115" w:type="dxa"/>
              <w:bottom w:w="85" w:type="dxa"/>
              <w:end w:w="115" w:type="dxa"/>
            </w:tcMar>
            <w:vAlign w:val="center"/>
          </w:tcPr>
          <w:p>
            <w:pPr>
              <w:spacing w:before="0" w:after="0" w:line="245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F2933"/>
                <w:sz w:val="16"/>
              </w:rPr>
              <w:t>Video demostrativo de 3 a 5 minutos.</w:t>
            </w:r>
          </w:p>
        </w:tc>
      </w:tr>
    </w:tbl>
    <w:p>
      <w:pPr>
        <w:spacing w:after="20"/>
      </w:pPr>
    </w:p>
    <w:p>
      <w:pPr>
        <w:keepNext/>
        <w:spacing w:before="18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12 Limitaciones y evolución</w:t>
      </w:r>
    </w:p>
    <w:p>
      <w:pPr>
        <w:spacing w:before="0" w:after="14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La versión está orientada a un propietario local estable y no declara soporte multiusuario. La configuración de automatización bancaria y correo es ambiental, por lo que requiere evidencia de dispositivo. Los adaptadores y contratos aíslan la UI, el proveedor LLM y la persistencia para permitir evolución sin reescribir los flujos principales.</w:t>
      </w:r>
    </w:p>
    <w:p>
      <w:pPr>
        <w:keepNext/>
        <w:spacing w:before="180" w:after="100" w:line="269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3"/>
        </w:rPr>
        <w:t>Referencias técnicas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Taller Segundo Corte Asistente Personal Inteligente Multi Agente con Control por Voz V2, secciones 1 a 7.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Repositorio JARVIS: docs/ARCHITECTURE.md, docs/MULTI_AGENT_BACKEND.md, docs/JARVIS_VOICE.md y docs/WORKSHOP_REQUIREMENTS.md.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Times New Roman" w:cs="Times New Roman"/>
          <w:b w:val="0"/>
          <w:i w:val="0"/>
          <w:color w:val="1F2933"/>
          <w:sz w:val="20"/>
        </w:rPr>
        <w:t>Código fuente: backend/app, src/services/backend, src/services/storage y src/features/jarvis.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52616B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 w:cs="Times New Roman"/>
        <w:b w:val="0"/>
        <w:i w:val="0"/>
        <w:color w:val="52616B"/>
        <w:sz w:val="17"/>
      </w:rPr>
      <w:t>JARVIS | Documento Técnico de Arquitectura | v0.2.0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