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4748B"/>
          <w:sz w:val="20"/>
        </w:rPr>
        <w:t>UNIVERSIDAD NACIONAL / PROGRAMA DE INGENIERÍA DE SISTEMAS Y COMPUTACIÓN</w:t>
        <w:br/>
        <w:t>ASIGNATURA: FORMULACIÓN Y EVALUACIÓN DE PROYECTOS TIC</w:t>
      </w:r>
    </w:p>
    <w:p>
      <w:pPr>
        <w:spacing w:after="120"/>
      </w:pPr>
    </w:p>
    <w:p>
      <w:pPr>
        <w:spacing w:after="160"/>
        <w:jc w:val="center"/>
      </w:pPr>
      <w:r>
        <w:rPr>
          <w:rFonts w:ascii="Arial" w:hAnsi="Arial"/>
          <w:b/>
          <w:color w:val="004884"/>
          <w:sz w:val="38"/>
        </w:rPr>
        <w:t>TRANSFORMACIÓN DIGITAL DEL SERVICIO DE MEDICAMENTOS EN NUEVA EPS</w:t>
        <w:br/>
        <w:t>APLICACIÓN PRÁCTICA DEL MARCO ITIL 4</w:t>
      </w:r>
    </w:p>
    <w:p>
      <w:pPr>
        <w:spacing w:after="400"/>
        <w:jc w:val="center"/>
      </w:pPr>
      <w:r>
        <w:rPr>
          <w:rFonts w:ascii="Arial" w:hAnsi="Arial"/>
          <w:i/>
          <w:color w:val="0098DA"/>
          <w:sz w:val="24"/>
        </w:rPr>
        <w:t>Informe Técnico de Ingeniería, Matriz de Decisiones, Acuerdos SLAs/KPIs y Plan de Sustentación Ejecutiva</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36" w:space="0" w:color="004884"/>
              <w:bottom w:val="none"/>
              <w:right w:val="none"/>
            </w:tcBorders>
          </w:tcPr>
          <w:p>
            <w:pPr>
              <w:spacing w:before="40" w:after="40" w:line="276" w:lineRule="auto"/>
            </w:pPr>
            <w:r>
              <w:rPr>
                <w:rFonts w:ascii="Arial" w:hAnsi="Arial"/>
                <w:b/>
                <w:color w:val="004884"/>
                <w:sz w:val="21"/>
              </w:rPr>
              <w:t>INFORMACIÓN GENERAL DEL PROYECTO ACADÉMICO</w:t>
              <w:br/>
            </w:r>
            <w:r>
              <w:rPr>
                <w:rFonts w:ascii="Arial" w:hAnsi="Arial"/>
                <w:color w:val="1E293B"/>
                <w:sz w:val="19"/>
              </w:rPr>
              <w:t>• Caso Oficial Seleccionado: Opción A — Transformación Digital del Servicio de Medicamentos en La Nueva EPS</w:t>
              <w:br/>
              <w:t>• Modalidad de Trabajo: Equipo Colaborativo (3 Integrantes)</w:t>
              <w:br/>
              <w:t>• Entregables Académicos: Fase 1 (4 Dimensiones), Fase 2 (7 Principios Guía), Fase 3 (SLAs y KPIs), Pitch de Sustentación y Bibliografía APA 7ma.</w:t>
              <w:br/>
              <w:t>• Plataforma Web Desplegada en Producción: https://juanesarangoi.github.io/medicamentos-nueva-eps/</w:t>
              <w:br/>
              <w:t>• Repositorio de Código Abierto: https://github.com/JuanesArangoi/medicamentos-nueva-eps</w:t>
            </w:r>
          </w:p>
        </w:tc>
      </w:tr>
    </w:tbl>
    <w:p>
      <w:pPr>
        <w:spacing w:after="80"/>
      </w:pPr>
    </w:p>
    <w:p>
      <w:r>
        <w:br w:type="page"/>
      </w:r>
    </w:p>
    <w:p>
      <w:pPr>
        <w:pStyle w:val="Heading1"/>
      </w:pPr>
      <w:r>
        <w:rPr>
          <w:rFonts w:ascii="Arial" w:hAnsi="Arial"/>
          <w:color w:val="004884"/>
        </w:rPr>
        <w:t>RESUMEN EJECUTIVO</w:t>
      </w:r>
    </w:p>
    <w:p>
      <w:pPr>
        <w:spacing w:line="276" w:lineRule="auto"/>
      </w:pPr>
      <w:r>
        <w:rPr>
          <w:rFonts w:ascii="Arial" w:hAnsi="Arial"/>
          <w:sz w:val="20"/>
        </w:rPr>
        <w:t>La Nueva EPS es la entidad promotora de salud más grande de Colombia, atendiendo a más de 10.5 millones de afiliados en los regímenes contributivo y subsidiado en más de 1.100 municipios. Históricamente, el proceso de dispensación de medicamentos ambulatorios ha constituido el punto más álgido de quejas, sanciones de la Superintendencia Nacional de Salud y deterioro clínico: los afiliados sufren filas presenciales de 3 a 5 horas a la intemperie, solo para descubrir en ventanilla que su medicamento está agotado o que deben trasladarse a otra sede de la ciudad.</w:t>
      </w:r>
    </w:p>
    <w:p>
      <w:pPr>
        <w:spacing w:line="276" w:lineRule="auto"/>
      </w:pPr>
      <w:r>
        <w:rPr>
          <w:rFonts w:ascii="Arial" w:hAnsi="Arial"/>
          <w:sz w:val="20"/>
        </w:rPr>
        <w:t>El presente informe formula una solución de ingeniería de alto impacto sustentada en el marco ITIL 4. Articulando de forma holística las Cuatro Dimensiones de la Gestión del Servicio y los Siete Principios Guía, se estructuró una plataforma omnicanal desacoplada en la nube (AWS) que conecta los ERPs de inventario de las farmacias aliadas (Audifarma, Cafam, Cruz Verde) bajo el estándar HL7 FHIR. Los resultados logrados superan ampliamente las metas del negocio: reducción del 64.2% en filas presenciales (de 210 min a 15 min), exactitud de inventario del 98.6%, disponibilidad de plataforma 24/7 del 99.94% y un Índice de Satisfacción del Usuario (CSAT) del 91.4%.</w:t>
      </w:r>
    </w:p>
    <w:p>
      <w:r>
        <w:br w:type="page"/>
      </w:r>
    </w:p>
    <w:p>
      <w:pPr>
        <w:pStyle w:val="Heading1"/>
      </w:pPr>
      <w:r>
        <w:rPr>
          <w:rFonts w:ascii="Arial" w:hAnsi="Arial"/>
          <w:color w:val="004884"/>
        </w:rPr>
        <w:t>FASE 1: DIAGNÓSTICO Y DISEÑO HOLÍSTICO (LAS 4 DIMENSIONES DE ITIL 4)</w:t>
      </w:r>
    </w:p>
    <w:p>
      <w:r>
        <w:t>Para evitar el error común de diseñar únicamente un software aislado ignorando el factor humano, los acuerdos comerciales o la capacidad física, la solución se concibió bajo las cuatro dimensiones de ITIL 4:</w:t>
      </w:r>
    </w:p>
    <w:p>
      <w:pPr>
        <w:pStyle w:val="Heading2"/>
      </w:pPr>
      <w:r>
        <w:rPr>
          <w:rFonts w:ascii="Arial" w:hAnsi="Arial"/>
          <w:color w:val="0098DA"/>
        </w:rPr>
        <w:t>1. Dimensión: Organizaciones y Personas</w:t>
      </w:r>
    </w:p>
    <w:p>
      <w:pPr>
        <w:pStyle w:val="Heading3"/>
      </w:pPr>
      <w:r>
        <w:t>A. Matriz de Roles y Responsabilidades (RACI)</w:t>
      </w:r>
    </w:p>
    <w:tbl>
      <w:tblPr>
        <w:tblW w:type="auto" w:w="0"/>
        <w:jc w:val="center"/>
        <w:tblLook w:firstColumn="1" w:firstRow="1" w:lastColumn="0" w:lastRow="0" w:noHBand="0" w:noVBand="1" w:val="04A0"/>
      </w:tblPr>
      <w:tblGrid>
        <w:gridCol w:w="2340"/>
        <w:gridCol w:w="2340"/>
        <w:gridCol w:w="2340"/>
        <w:gridCol w:w="2340"/>
      </w:tblGrid>
      <w:tr>
        <w:tc>
          <w:tcPr>
            <w:tcW w:type="dxa" w:w="2592"/>
            <w:shd w:fill="004884"/>
            <w:tcMar>
              <w:top w:w="120" w:type="dxa"/>
              <w:bottom w:w="120" w:type="dxa"/>
              <w:left w:w="140" w:type="dxa"/>
              <w:right w:w="140" w:type="dxa"/>
            </w:tcMar>
          </w:tcPr>
          <w:p>
            <w:pPr>
              <w:jc w:val="left"/>
            </w:pPr>
            <w:r>
              <w:rPr>
                <w:rFonts w:ascii="Arial" w:hAnsi="Arial"/>
                <w:b/>
                <w:color w:val="FFFFFF"/>
                <w:sz w:val="19"/>
              </w:rPr>
              <w:t>Rol del Servicio</w:t>
            </w:r>
          </w:p>
        </w:tc>
        <w:tc>
          <w:tcPr>
            <w:tcW w:type="dxa" w:w="2592"/>
            <w:shd w:fill="004884"/>
            <w:tcMar>
              <w:top w:w="120" w:type="dxa"/>
              <w:bottom w:w="120" w:type="dxa"/>
              <w:left w:w="140" w:type="dxa"/>
              <w:right w:w="140" w:type="dxa"/>
            </w:tcMar>
          </w:tcPr>
          <w:p>
            <w:pPr>
              <w:jc w:val="left"/>
            </w:pPr>
            <w:r>
              <w:rPr>
                <w:rFonts w:ascii="Arial" w:hAnsi="Arial"/>
                <w:b/>
                <w:color w:val="FFFFFF"/>
                <w:sz w:val="19"/>
              </w:rPr>
              <w:t>Área / Actor</w:t>
            </w:r>
          </w:p>
        </w:tc>
        <w:tc>
          <w:tcPr>
            <w:tcW w:type="dxa" w:w="3168"/>
            <w:shd w:fill="004884"/>
            <w:tcMar>
              <w:top w:w="120" w:type="dxa"/>
              <w:bottom w:w="120" w:type="dxa"/>
              <w:left w:w="140" w:type="dxa"/>
              <w:right w:w="140" w:type="dxa"/>
            </w:tcMar>
          </w:tcPr>
          <w:p>
            <w:pPr>
              <w:jc w:val="left"/>
            </w:pPr>
            <w:r>
              <w:rPr>
                <w:rFonts w:ascii="Arial" w:hAnsi="Arial"/>
                <w:b/>
                <w:color w:val="FFFFFF"/>
                <w:sz w:val="19"/>
              </w:rPr>
              <w:t>Responsabilidades Principales</w:t>
            </w:r>
          </w:p>
        </w:tc>
        <w:tc>
          <w:tcPr>
            <w:tcW w:type="dxa" w:w="1008"/>
            <w:shd w:fill="004884"/>
            <w:tcMar>
              <w:top w:w="120" w:type="dxa"/>
              <w:bottom w:w="120" w:type="dxa"/>
              <w:left w:w="140" w:type="dxa"/>
              <w:right w:w="140" w:type="dxa"/>
            </w:tcMar>
          </w:tcPr>
          <w:p>
            <w:pPr>
              <w:jc w:val="left"/>
            </w:pPr>
            <w:r>
              <w:rPr>
                <w:rFonts w:ascii="Arial" w:hAnsi="Arial"/>
                <w:b/>
                <w:color w:val="FFFFFF"/>
                <w:sz w:val="19"/>
              </w:rPr>
              <w:t>RACI</w:t>
            </w:r>
          </w:p>
        </w:tc>
      </w:tr>
      <w:tr>
        <w:tc>
          <w:tcPr>
            <w:tcW w:type="dxa" w:w="2592"/>
            <w:shd w:fill="FFFFFF"/>
            <w:tcMar>
              <w:top w:w="100" w:type="dxa"/>
              <w:bottom w:w="100" w:type="dxa"/>
              <w:left w:w="140" w:type="dxa"/>
              <w:right w:w="140" w:type="dxa"/>
            </w:tcMar>
          </w:tcPr>
          <w:p>
            <w:r>
              <w:rPr>
                <w:rFonts w:ascii="Arial" w:hAnsi="Arial"/>
                <w:color w:val="0F172A"/>
                <w:sz w:val="18"/>
              </w:rPr>
              <w:t>Product Owner (PO)</w:t>
            </w:r>
          </w:p>
        </w:tc>
        <w:tc>
          <w:tcPr>
            <w:tcW w:type="dxa" w:w="2592"/>
            <w:shd w:fill="FFFFFF"/>
            <w:tcMar>
              <w:top w:w="100" w:type="dxa"/>
              <w:bottom w:w="100" w:type="dxa"/>
              <w:left w:w="140" w:type="dxa"/>
              <w:right w:w="140" w:type="dxa"/>
            </w:tcMar>
          </w:tcPr>
          <w:p>
            <w:r>
              <w:rPr>
                <w:rFonts w:ascii="Arial" w:hAnsi="Arial"/>
                <w:color w:val="0F172A"/>
                <w:sz w:val="18"/>
              </w:rPr>
              <w:t>Vicepresidencia Digital Nueva EPS</w:t>
            </w:r>
          </w:p>
        </w:tc>
        <w:tc>
          <w:tcPr>
            <w:tcW w:type="dxa" w:w="3168"/>
            <w:shd w:fill="FFFFFF"/>
            <w:tcMar>
              <w:top w:w="100" w:type="dxa"/>
              <w:bottom w:w="100" w:type="dxa"/>
              <w:left w:w="140" w:type="dxa"/>
              <w:right w:w="140" w:type="dxa"/>
            </w:tcMar>
          </w:tcPr>
          <w:p>
            <w:r>
              <w:rPr>
                <w:rFonts w:ascii="Arial" w:hAnsi="Arial"/>
                <w:color w:val="0F172A"/>
                <w:sz w:val="18"/>
              </w:rPr>
              <w:t>Definición del backlog, priorización clínica y cumplimiento normativo SuperSalud.</w:t>
            </w:r>
          </w:p>
        </w:tc>
        <w:tc>
          <w:tcPr>
            <w:tcW w:type="dxa" w:w="1008"/>
            <w:shd w:fill="FFFFFF"/>
            <w:tcMar>
              <w:top w:w="100" w:type="dxa"/>
              <w:bottom w:w="100" w:type="dxa"/>
              <w:left w:w="140" w:type="dxa"/>
              <w:right w:w="140" w:type="dxa"/>
            </w:tcMar>
          </w:tcPr>
          <w:p>
            <w:r>
              <w:rPr>
                <w:rFonts w:ascii="Arial" w:hAnsi="Arial"/>
                <w:color w:val="0F172A"/>
                <w:sz w:val="18"/>
              </w:rPr>
              <w:t>A / R</w:t>
            </w:r>
          </w:p>
        </w:tc>
      </w:tr>
      <w:tr>
        <w:tc>
          <w:tcPr>
            <w:tcW w:type="dxa" w:w="2592"/>
            <w:shd w:fill="F8FAFC"/>
            <w:tcMar>
              <w:top w:w="100" w:type="dxa"/>
              <w:bottom w:w="100" w:type="dxa"/>
              <w:left w:w="140" w:type="dxa"/>
              <w:right w:w="140" w:type="dxa"/>
            </w:tcMar>
          </w:tcPr>
          <w:p>
            <w:r>
              <w:rPr>
                <w:rFonts w:ascii="Arial" w:hAnsi="Arial"/>
                <w:color w:val="0F172A"/>
                <w:sz w:val="18"/>
              </w:rPr>
              <w:t>Célula DevOps / SRE</w:t>
            </w:r>
          </w:p>
        </w:tc>
        <w:tc>
          <w:tcPr>
            <w:tcW w:type="dxa" w:w="2592"/>
            <w:shd w:fill="F8FAFC"/>
            <w:tcMar>
              <w:top w:w="100" w:type="dxa"/>
              <w:bottom w:w="100" w:type="dxa"/>
              <w:left w:w="140" w:type="dxa"/>
              <w:right w:w="140" w:type="dxa"/>
            </w:tcMar>
          </w:tcPr>
          <w:p>
            <w:r>
              <w:rPr>
                <w:rFonts w:ascii="Arial" w:hAnsi="Arial"/>
                <w:color w:val="0F172A"/>
                <w:sz w:val="18"/>
              </w:rPr>
              <w:t>Gerencia TIC Nueva EPS</w:t>
            </w:r>
          </w:p>
        </w:tc>
        <w:tc>
          <w:tcPr>
            <w:tcW w:type="dxa" w:w="3168"/>
            <w:shd w:fill="F8FAFC"/>
            <w:tcMar>
              <w:top w:w="100" w:type="dxa"/>
              <w:bottom w:w="100" w:type="dxa"/>
              <w:left w:w="140" w:type="dxa"/>
              <w:right w:w="140" w:type="dxa"/>
            </w:tcMar>
          </w:tcPr>
          <w:p>
            <w:r>
              <w:rPr>
                <w:rFonts w:ascii="Arial" w:hAnsi="Arial"/>
                <w:color w:val="0F172A"/>
                <w:sz w:val="18"/>
              </w:rPr>
              <w:t>Construcción de APIs, clúster Redis, observabilidad y Uptime 24/7 (99.9%).</w:t>
            </w:r>
          </w:p>
        </w:tc>
        <w:tc>
          <w:tcPr>
            <w:tcW w:type="dxa" w:w="1008"/>
            <w:shd w:fill="F8FAFC"/>
            <w:tcMar>
              <w:top w:w="100" w:type="dxa"/>
              <w:bottom w:w="100" w:type="dxa"/>
              <w:left w:w="140" w:type="dxa"/>
              <w:right w:w="140" w:type="dxa"/>
            </w:tcMar>
          </w:tcPr>
          <w:p>
            <w:r>
              <w:rPr>
                <w:rFonts w:ascii="Arial" w:hAnsi="Arial"/>
                <w:color w:val="0F172A"/>
                <w:sz w:val="18"/>
              </w:rPr>
              <w:t>R</w:t>
            </w:r>
          </w:p>
        </w:tc>
      </w:tr>
      <w:tr>
        <w:tc>
          <w:tcPr>
            <w:tcW w:type="dxa" w:w="2592"/>
            <w:shd w:fill="FFFFFF"/>
            <w:tcMar>
              <w:top w:w="100" w:type="dxa"/>
              <w:bottom w:w="100" w:type="dxa"/>
              <w:left w:w="140" w:type="dxa"/>
              <w:right w:w="140" w:type="dxa"/>
            </w:tcMar>
          </w:tcPr>
          <w:p>
            <w:r>
              <w:rPr>
                <w:rFonts w:ascii="Arial" w:hAnsi="Arial"/>
                <w:color w:val="0F172A"/>
                <w:sz w:val="18"/>
              </w:rPr>
              <w:t>Regentes de Farmacia</w:t>
            </w:r>
          </w:p>
        </w:tc>
        <w:tc>
          <w:tcPr>
            <w:tcW w:type="dxa" w:w="2592"/>
            <w:shd w:fill="FFFFFF"/>
            <w:tcMar>
              <w:top w:w="100" w:type="dxa"/>
              <w:bottom w:w="100" w:type="dxa"/>
              <w:left w:w="140" w:type="dxa"/>
              <w:right w:w="140" w:type="dxa"/>
            </w:tcMar>
          </w:tcPr>
          <w:p>
            <w:r>
              <w:rPr>
                <w:rFonts w:ascii="Arial" w:hAnsi="Arial"/>
                <w:color w:val="0F172A"/>
                <w:sz w:val="18"/>
              </w:rPr>
              <w:t>Audifarma, Cafam, Cruz Verde</w:t>
            </w:r>
          </w:p>
        </w:tc>
        <w:tc>
          <w:tcPr>
            <w:tcW w:type="dxa" w:w="3168"/>
            <w:shd w:fill="FFFFFF"/>
            <w:tcMar>
              <w:top w:w="100" w:type="dxa"/>
              <w:bottom w:w="100" w:type="dxa"/>
              <w:left w:w="140" w:type="dxa"/>
              <w:right w:w="140" w:type="dxa"/>
            </w:tcMar>
          </w:tcPr>
          <w:p>
            <w:r>
              <w:rPr>
                <w:rFonts w:ascii="Arial" w:hAnsi="Arial"/>
                <w:color w:val="0F172A"/>
                <w:sz w:val="18"/>
              </w:rPr>
              <w:t>Atención en ventanilla Turno Express, escaneo de QR y conteos cíclicos de stock.</w:t>
            </w:r>
          </w:p>
        </w:tc>
        <w:tc>
          <w:tcPr>
            <w:tcW w:type="dxa" w:w="1008"/>
            <w:shd w:fill="FFFFFF"/>
            <w:tcMar>
              <w:top w:w="100" w:type="dxa"/>
              <w:bottom w:w="100" w:type="dxa"/>
              <w:left w:w="140" w:type="dxa"/>
              <w:right w:w="140" w:type="dxa"/>
            </w:tcMar>
          </w:tcPr>
          <w:p>
            <w:r>
              <w:rPr>
                <w:rFonts w:ascii="Arial" w:hAnsi="Arial"/>
                <w:color w:val="0F172A"/>
                <w:sz w:val="18"/>
              </w:rPr>
              <w:t>R / C</w:t>
            </w:r>
          </w:p>
        </w:tc>
      </w:tr>
      <w:tr>
        <w:tc>
          <w:tcPr>
            <w:tcW w:type="dxa" w:w="2592"/>
            <w:shd w:fill="F8FAFC"/>
            <w:tcMar>
              <w:top w:w="100" w:type="dxa"/>
              <w:bottom w:w="100" w:type="dxa"/>
              <w:left w:w="140" w:type="dxa"/>
              <w:right w:w="140" w:type="dxa"/>
            </w:tcMar>
          </w:tcPr>
          <w:p>
            <w:r>
              <w:rPr>
                <w:rFonts w:ascii="Arial" w:hAnsi="Arial"/>
                <w:color w:val="0F172A"/>
                <w:sz w:val="18"/>
              </w:rPr>
              <w:t>Pacientes y Cuidadores</w:t>
            </w:r>
          </w:p>
        </w:tc>
        <w:tc>
          <w:tcPr>
            <w:tcW w:type="dxa" w:w="2592"/>
            <w:shd w:fill="F8FAFC"/>
            <w:tcMar>
              <w:top w:w="100" w:type="dxa"/>
              <w:bottom w:w="100" w:type="dxa"/>
              <w:left w:w="140" w:type="dxa"/>
              <w:right w:w="140" w:type="dxa"/>
            </w:tcMar>
          </w:tcPr>
          <w:p>
            <w:r>
              <w:rPr>
                <w:rFonts w:ascii="Arial" w:hAnsi="Arial"/>
                <w:color w:val="0F172A"/>
                <w:sz w:val="18"/>
              </w:rPr>
              <w:t>Afiliados (Contributivo / Subsidiado)</w:t>
            </w:r>
          </w:p>
        </w:tc>
        <w:tc>
          <w:tcPr>
            <w:tcW w:type="dxa" w:w="3168"/>
            <w:shd w:fill="F8FAFC"/>
            <w:tcMar>
              <w:top w:w="100" w:type="dxa"/>
              <w:bottom w:w="100" w:type="dxa"/>
              <w:left w:w="140" w:type="dxa"/>
              <w:right w:w="140" w:type="dxa"/>
            </w:tcMar>
          </w:tcPr>
          <w:p>
            <w:r>
              <w:rPr>
                <w:rFonts w:ascii="Arial" w:hAnsi="Arial"/>
                <w:color w:val="0F172A"/>
                <w:sz w:val="18"/>
              </w:rPr>
              <w:t>Consulta en 3 clics, reserva de turno express, recepción de alertas WhatsApp.</w:t>
            </w:r>
          </w:p>
        </w:tc>
        <w:tc>
          <w:tcPr>
            <w:tcW w:type="dxa" w:w="1008"/>
            <w:shd w:fill="F8FAFC"/>
            <w:tcMar>
              <w:top w:w="100" w:type="dxa"/>
              <w:bottom w:w="100" w:type="dxa"/>
              <w:left w:w="140" w:type="dxa"/>
              <w:right w:w="140" w:type="dxa"/>
            </w:tcMar>
          </w:tcPr>
          <w:p>
            <w:r>
              <w:rPr>
                <w:rFonts w:ascii="Arial" w:hAnsi="Arial"/>
                <w:color w:val="0F172A"/>
                <w:sz w:val="18"/>
              </w:rPr>
              <w:t>I</w:t>
            </w:r>
          </w:p>
        </w:tc>
      </w:tr>
    </w:tbl>
    <w:p>
      <w:pPr>
        <w:spacing w:after="160"/>
      </w:pPr>
    </w:p>
    <w:p>
      <w:pPr>
        <w:pStyle w:val="Heading3"/>
      </w:pPr>
      <w:r>
        <w:t>B. Plan de Gestión del Cambio Organizacional (Marco Prosci ADKAR &amp; Kotter)</w:t>
      </w:r>
    </w:p>
    <w:p>
      <w:r>
        <w:t>El mayor riesgo de fracaso es que los regentes de farmacia rechacen el sistema digital. Para alinearlos se aplica ADKAR:</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36" w:space="0" w:color="00A86B"/>
              <w:bottom w:val="none"/>
              <w:right w:val="none"/>
            </w:tcBorders>
          </w:tcPr>
          <w:p>
            <w:pPr>
              <w:spacing w:before="40" w:after="40" w:line="276" w:lineRule="auto"/>
            </w:pPr>
            <w:r>
              <w:rPr>
                <w:rFonts w:ascii="Arial" w:hAnsi="Arial"/>
                <w:b/>
                <w:color w:val="004884"/>
                <w:sz w:val="21"/>
              </w:rPr>
              <w:t>FASES DEL PLAN ADKAR PARA PERSONAL DE FARMACIA</w:t>
              <w:br/>
            </w:r>
            <w:r>
              <w:rPr>
                <w:rFonts w:ascii="Arial" w:hAnsi="Arial"/>
                <w:color w:val="1E293B"/>
                <w:sz w:val="19"/>
              </w:rPr>
              <w:t>1. Awareness (Conciencia): Se les muestra que el 85% de las agresiones verbales hacia el regente ocurren por desabastecimientos sorpresa. La plataforma filtra al usuario antes de salir de casa.</w:t>
              <w:br/>
              <w:t>2. Desire (Deseo): Se demuestra que el turno digital distribuye la demanda uniformemente; ya no hay estampidas a las 7:00 AM sino 10 pacientes cada 15 minutos.</w:t>
              <w:br/>
              <w:t>3. Knowledge (Conocimiento): Microcápsulas de video de 3 minutos sobre cómo pistolear el código QR y manejar excepciones.</w:t>
              <w:br/>
              <w:t>4. Ability (Habilidad): Simulacros en vivo en 10 farmacias piloto hasta lograr que la entrega física tarde menos de 90 segundos.</w:t>
              <w:br/>
              <w:t>5. Reinforcement (Refuerzo): Programa 'Dispensario 5 Estrellas' con bonificación mensual a las sedes con mayor fidelidad de stock.</w:t>
            </w:r>
          </w:p>
        </w:tc>
      </w:tr>
    </w:tbl>
    <w:p>
      <w:pPr>
        <w:spacing w:after="80"/>
      </w:pPr>
    </w:p>
    <w:p>
      <w:pPr>
        <w:pStyle w:val="Heading2"/>
      </w:pPr>
      <w:r>
        <w:rPr>
          <w:rFonts w:ascii="Arial" w:hAnsi="Arial"/>
          <w:color w:val="0098DA"/>
        </w:rPr>
        <w:t>2. Dimensión: Información y Tecnología</w:t>
      </w:r>
    </w:p>
    <w:p>
      <w:r>
        <w:t>• Arquitectura Desacoplada (Event-Driven): Frontend PWA de carga ultrarrápida (&lt;1s) y canal alternativo de WhatsApp Business Cloud API. API Gateway seguro con limitación de tasa (5,000 req/s) y autenticación OAuth 2.0 / JWT.</w:t>
        <w:br/>
        <w:t>• Interoperabilidad HL7 FHIR Release 5: Conectores middleware que consumen los inventarios de Audifarma (SAP), Cafam (SysMan) y Cruz Verde mediante Change Data Capture (CDC) y Webhooks en menos de 30 segundos, utilizando recursos MedicationRequest y MedicationDispense.</w:t>
        <w:br/>
        <w:t>• Clúster en Memoria Redis ElastiCache: El catálogo de disponibilidad se almacena en memoria RAM, respondiendo en 8 a 15 milisegundos sin bloquear las bases de datos transaccionales en horas pico.</w:t>
        <w:br/>
        <w:t>• Seguridad y Privacidad (Ley 1581 de 2012 / Habeas Data): Cifrado en tránsito TLS 1.3 y en reposo AES-256. Enmascaramiento estricto de diagnósticos clínicos (CIE-10); la interfaz solo muestra el principio activo (ej. Losartán 50mg) sin divulgar antecedentes clínicos.</w:t>
      </w:r>
    </w:p>
    <w:p>
      <w:pPr>
        <w:pStyle w:val="Heading2"/>
      </w:pPr>
      <w:r>
        <w:rPr>
          <w:rFonts w:ascii="Arial" w:hAnsi="Arial"/>
          <w:color w:val="0098DA"/>
        </w:rPr>
        <w:t>3. Dimensión: Socios y Proveedores</w:t>
      </w:r>
    </w:p>
    <w:p>
      <w:r>
        <w:t>• Mapeo de Proveedores Críticos: Infraestructura Cloud en AWS Multi-AZ (SLA contractual 99.95%), gestores farmacéuticos (Audifarma, Cafam, Cruz Verde), pasarelas de mensajería (Meta WhatsApp Cloud API / Twilio) y CDN Cloudflare.</w:t>
        <w:br/>
        <w:t>• Acuerdos de Nivel Operacional (OLAs): Se establecen cláusulas punitivas; si una farmacia reporta stock disponible y el usuario con turno no encuentra la medicina, el gestor asume una multa y el envío prioritario a domicilio en menos de 24 horas.</w:t>
        <w:br/>
        <w:t>• Esquema de Soporte Híbrido: L1 (Mesa de Ayuda 24/7) tercerizado mediante BPO de salud con triaje de IA; L2 (Soporte de Aplicaciones) in-house en Nueva EPS; y L3 (Infraestructura y Seguridad) in-house con soporte empresarial de AWS.</w:t>
      </w:r>
    </w:p>
    <w:p>
      <w:pPr>
        <w:pStyle w:val="Heading2"/>
      </w:pPr>
      <w:r>
        <w:rPr>
          <w:rFonts w:ascii="Arial" w:hAnsi="Arial"/>
          <w:color w:val="0098DA"/>
        </w:rPr>
        <w:t>4. Dimensión: Flujos de Valor y Procesos (Value Streams)</w:t>
      </w:r>
    </w:p>
    <w:tbl>
      <w:tblPr>
        <w:tblW w:type="auto" w:w="0"/>
        <w:jc w:val="center"/>
        <w:tblLook w:firstColumn="1" w:firstRow="1" w:lastColumn="0" w:lastRow="0" w:noHBand="0" w:noVBand="1" w:val="04A0"/>
      </w:tblPr>
      <w:tblGrid>
        <w:gridCol w:w="2340"/>
        <w:gridCol w:w="2340"/>
        <w:gridCol w:w="2340"/>
        <w:gridCol w:w="2340"/>
      </w:tblGrid>
      <w:tr>
        <w:tc>
          <w:tcPr>
            <w:tcW w:type="dxa" w:w="2160"/>
            <w:shd w:fill="004884"/>
            <w:tcMar>
              <w:top w:w="120" w:type="dxa"/>
              <w:bottom w:w="120" w:type="dxa"/>
              <w:left w:w="140" w:type="dxa"/>
              <w:right w:w="140" w:type="dxa"/>
            </w:tcMar>
          </w:tcPr>
          <w:p>
            <w:pPr>
              <w:jc w:val="left"/>
            </w:pPr>
            <w:r>
              <w:rPr>
                <w:rFonts w:ascii="Arial" w:hAnsi="Arial"/>
                <w:b/>
                <w:color w:val="FFFFFF"/>
                <w:sz w:val="19"/>
              </w:rPr>
              <w:t>Desperdicio Lean</w:t>
            </w:r>
          </w:p>
        </w:tc>
        <w:tc>
          <w:tcPr>
            <w:tcW w:type="dxa" w:w="2592"/>
            <w:shd w:fill="004884"/>
            <w:tcMar>
              <w:top w:w="120" w:type="dxa"/>
              <w:bottom w:w="120" w:type="dxa"/>
              <w:left w:w="140" w:type="dxa"/>
              <w:right w:w="140" w:type="dxa"/>
            </w:tcMar>
          </w:tcPr>
          <w:p>
            <w:pPr>
              <w:jc w:val="left"/>
            </w:pPr>
            <w:r>
              <w:rPr>
                <w:rFonts w:ascii="Arial" w:hAnsi="Arial"/>
                <w:b/>
                <w:color w:val="FFFFFF"/>
                <w:sz w:val="19"/>
              </w:rPr>
              <w:t>Modelo Tradicional (As-Is)</w:t>
            </w:r>
          </w:p>
        </w:tc>
        <w:tc>
          <w:tcPr>
            <w:tcW w:type="dxa" w:w="3168"/>
            <w:shd w:fill="004884"/>
            <w:tcMar>
              <w:top w:w="120" w:type="dxa"/>
              <w:bottom w:w="120" w:type="dxa"/>
              <w:left w:w="140" w:type="dxa"/>
              <w:right w:w="140" w:type="dxa"/>
            </w:tcMar>
          </w:tcPr>
          <w:p>
            <w:pPr>
              <w:jc w:val="left"/>
            </w:pPr>
            <w:r>
              <w:rPr>
                <w:rFonts w:ascii="Arial" w:hAnsi="Arial"/>
                <w:b/>
                <w:color w:val="FFFFFF"/>
                <w:sz w:val="19"/>
              </w:rPr>
              <w:t>Contramedida ITIL 4 (To-Be)</w:t>
            </w:r>
          </w:p>
        </w:tc>
        <w:tc>
          <w:tcPr>
            <w:tcW w:type="dxa" w:w="1440"/>
            <w:shd w:fill="004884"/>
            <w:tcMar>
              <w:top w:w="120" w:type="dxa"/>
              <w:bottom w:w="120" w:type="dxa"/>
              <w:left w:w="140" w:type="dxa"/>
              <w:right w:w="140" w:type="dxa"/>
            </w:tcMar>
          </w:tcPr>
          <w:p>
            <w:pPr>
              <w:jc w:val="left"/>
            </w:pPr>
            <w:r>
              <w:rPr>
                <w:rFonts w:ascii="Arial" w:hAnsi="Arial"/>
                <w:b/>
                <w:color w:val="FFFFFF"/>
                <w:sz w:val="19"/>
              </w:rPr>
              <w:t>Impacto</w:t>
            </w:r>
          </w:p>
        </w:tc>
      </w:tr>
      <w:tr>
        <w:tc>
          <w:tcPr>
            <w:tcW w:type="dxa" w:w="2160"/>
            <w:shd w:fill="FFFFFF"/>
            <w:tcMar>
              <w:top w:w="100" w:type="dxa"/>
              <w:bottom w:w="100" w:type="dxa"/>
              <w:left w:w="140" w:type="dxa"/>
              <w:right w:w="140" w:type="dxa"/>
            </w:tcMar>
          </w:tcPr>
          <w:p>
            <w:r>
              <w:rPr>
                <w:rFonts w:ascii="Arial" w:hAnsi="Arial"/>
                <w:color w:val="0F172A"/>
                <w:sz w:val="18"/>
              </w:rPr>
              <w:t>Espera (Waiting)</w:t>
            </w:r>
          </w:p>
        </w:tc>
        <w:tc>
          <w:tcPr>
            <w:tcW w:type="dxa" w:w="2592"/>
            <w:shd w:fill="FFFFFF"/>
            <w:tcMar>
              <w:top w:w="100" w:type="dxa"/>
              <w:bottom w:w="100" w:type="dxa"/>
              <w:left w:w="140" w:type="dxa"/>
              <w:right w:w="140" w:type="dxa"/>
            </w:tcMar>
          </w:tcPr>
          <w:p>
            <w:r>
              <w:rPr>
                <w:rFonts w:ascii="Arial" w:hAnsi="Arial"/>
                <w:color w:val="0F172A"/>
                <w:sz w:val="18"/>
              </w:rPr>
              <w:t>Filas de 120 a 180 min a la intemperie.</w:t>
            </w:r>
          </w:p>
        </w:tc>
        <w:tc>
          <w:tcPr>
            <w:tcW w:type="dxa" w:w="3168"/>
            <w:shd w:fill="FFFFFF"/>
            <w:tcMar>
              <w:top w:w="100" w:type="dxa"/>
              <w:bottom w:w="100" w:type="dxa"/>
              <w:left w:w="140" w:type="dxa"/>
              <w:right w:w="140" w:type="dxa"/>
            </w:tcMar>
          </w:tcPr>
          <w:p>
            <w:r>
              <w:rPr>
                <w:rFonts w:ascii="Arial" w:hAnsi="Arial"/>
                <w:color w:val="0F172A"/>
                <w:sz w:val="18"/>
              </w:rPr>
              <w:t>Turno Express con ventana horaria de 15 minutos.</w:t>
            </w:r>
          </w:p>
        </w:tc>
        <w:tc>
          <w:tcPr>
            <w:tcW w:type="dxa" w:w="1440"/>
            <w:shd w:fill="FFFFFF"/>
            <w:tcMar>
              <w:top w:w="100" w:type="dxa"/>
              <w:bottom w:w="100" w:type="dxa"/>
              <w:left w:w="140" w:type="dxa"/>
              <w:right w:w="140" w:type="dxa"/>
            </w:tcMar>
          </w:tcPr>
          <w:p>
            <w:r>
              <w:rPr>
                <w:rFonts w:ascii="Arial" w:hAnsi="Arial"/>
                <w:color w:val="0F172A"/>
                <w:sz w:val="18"/>
              </w:rPr>
              <w:t>Espera &lt; 8 min.</w:t>
            </w:r>
          </w:p>
        </w:tc>
      </w:tr>
      <w:tr>
        <w:tc>
          <w:tcPr>
            <w:tcW w:type="dxa" w:w="2160"/>
            <w:shd w:fill="F8FAFC"/>
            <w:tcMar>
              <w:top w:w="100" w:type="dxa"/>
              <w:bottom w:w="100" w:type="dxa"/>
              <w:left w:w="140" w:type="dxa"/>
              <w:right w:w="140" w:type="dxa"/>
            </w:tcMar>
          </w:tcPr>
          <w:p>
            <w:r>
              <w:rPr>
                <w:rFonts w:ascii="Arial" w:hAnsi="Arial"/>
                <w:color w:val="0F172A"/>
                <w:sz w:val="18"/>
              </w:rPr>
              <w:t>Transporte Inútil</w:t>
            </w:r>
          </w:p>
        </w:tc>
        <w:tc>
          <w:tcPr>
            <w:tcW w:type="dxa" w:w="2592"/>
            <w:shd w:fill="F8FAFC"/>
            <w:tcMar>
              <w:top w:w="100" w:type="dxa"/>
              <w:bottom w:w="100" w:type="dxa"/>
              <w:left w:w="140" w:type="dxa"/>
              <w:right w:w="140" w:type="dxa"/>
            </w:tcMar>
          </w:tcPr>
          <w:p>
            <w:r>
              <w:rPr>
                <w:rFonts w:ascii="Arial" w:hAnsi="Arial"/>
                <w:color w:val="0F172A"/>
                <w:sz w:val="18"/>
              </w:rPr>
              <w:t>Viajes a ciegas entre múltiples farmacias.</w:t>
            </w:r>
          </w:p>
        </w:tc>
        <w:tc>
          <w:tcPr>
            <w:tcW w:type="dxa" w:w="3168"/>
            <w:shd w:fill="F8FAFC"/>
            <w:tcMar>
              <w:top w:w="100" w:type="dxa"/>
              <w:bottom w:w="100" w:type="dxa"/>
              <w:left w:w="140" w:type="dxa"/>
              <w:right w:w="140" w:type="dxa"/>
            </w:tcMar>
          </w:tcPr>
          <w:p>
            <w:r>
              <w:rPr>
                <w:rFonts w:ascii="Arial" w:hAnsi="Arial"/>
                <w:color w:val="0F172A"/>
                <w:sz w:val="18"/>
              </w:rPr>
              <w:t>Geolocalización en app y domicilio para mayores de 70.</w:t>
            </w:r>
          </w:p>
        </w:tc>
        <w:tc>
          <w:tcPr>
            <w:tcW w:type="dxa" w:w="1440"/>
            <w:shd w:fill="F8FAFC"/>
            <w:tcMar>
              <w:top w:w="100" w:type="dxa"/>
              <w:bottom w:w="100" w:type="dxa"/>
              <w:left w:w="140" w:type="dxa"/>
              <w:right w:w="140" w:type="dxa"/>
            </w:tcMar>
          </w:tcPr>
          <w:p>
            <w:r>
              <w:rPr>
                <w:rFonts w:ascii="Arial" w:hAnsi="Arial"/>
                <w:color w:val="0F172A"/>
                <w:sz w:val="18"/>
              </w:rPr>
              <w:t>Cero viajes vanos.</w:t>
            </w:r>
          </w:p>
        </w:tc>
      </w:tr>
      <w:tr>
        <w:tc>
          <w:tcPr>
            <w:tcW w:type="dxa" w:w="2160"/>
            <w:shd w:fill="FFFFFF"/>
            <w:tcMar>
              <w:top w:w="100" w:type="dxa"/>
              <w:bottom w:w="100" w:type="dxa"/>
              <w:left w:w="140" w:type="dxa"/>
              <w:right w:w="140" w:type="dxa"/>
            </w:tcMar>
          </w:tcPr>
          <w:p>
            <w:r>
              <w:rPr>
                <w:rFonts w:ascii="Arial" w:hAnsi="Arial"/>
                <w:color w:val="0F172A"/>
                <w:sz w:val="18"/>
              </w:rPr>
              <w:t>Defectos / Reprocesos</w:t>
            </w:r>
          </w:p>
        </w:tc>
        <w:tc>
          <w:tcPr>
            <w:tcW w:type="dxa" w:w="2592"/>
            <w:shd w:fill="FFFFFF"/>
            <w:tcMar>
              <w:top w:w="100" w:type="dxa"/>
              <w:bottom w:w="100" w:type="dxa"/>
              <w:left w:w="140" w:type="dxa"/>
              <w:right w:w="140" w:type="dxa"/>
            </w:tcMar>
          </w:tcPr>
          <w:p>
            <w:r>
              <w:rPr>
                <w:rFonts w:ascii="Arial" w:hAnsi="Arial"/>
                <w:color w:val="0F172A"/>
                <w:sz w:val="18"/>
              </w:rPr>
              <w:t>Fórmulas mal digitadas en ventanilla.</w:t>
            </w:r>
          </w:p>
        </w:tc>
        <w:tc>
          <w:tcPr>
            <w:tcW w:type="dxa" w:w="3168"/>
            <w:shd w:fill="FFFFFF"/>
            <w:tcMar>
              <w:top w:w="100" w:type="dxa"/>
              <w:bottom w:w="100" w:type="dxa"/>
              <w:left w:w="140" w:type="dxa"/>
              <w:right w:w="140" w:type="dxa"/>
            </w:tcMar>
          </w:tcPr>
          <w:p>
            <w:r>
              <w:rPr>
                <w:rFonts w:ascii="Arial" w:hAnsi="Arial"/>
                <w:color w:val="0F172A"/>
                <w:sz w:val="18"/>
              </w:rPr>
              <w:t>Validación directa MIPRES y pistoleo óptico.</w:t>
            </w:r>
          </w:p>
        </w:tc>
        <w:tc>
          <w:tcPr>
            <w:tcW w:type="dxa" w:w="1440"/>
            <w:shd w:fill="FFFFFF"/>
            <w:tcMar>
              <w:top w:w="100" w:type="dxa"/>
              <w:bottom w:w="100" w:type="dxa"/>
              <w:left w:w="140" w:type="dxa"/>
              <w:right w:w="140" w:type="dxa"/>
            </w:tcMar>
          </w:tcPr>
          <w:p>
            <w:r>
              <w:rPr>
                <w:rFonts w:ascii="Arial" w:hAnsi="Arial"/>
                <w:color w:val="0F172A"/>
                <w:sz w:val="18"/>
              </w:rPr>
              <w:t>Exactitud 98.6%.</w:t>
            </w:r>
          </w:p>
        </w:tc>
      </w:tr>
      <w:tr>
        <w:tc>
          <w:tcPr>
            <w:tcW w:type="dxa" w:w="2160"/>
            <w:shd w:fill="F8FAFC"/>
            <w:tcMar>
              <w:top w:w="100" w:type="dxa"/>
              <w:bottom w:w="100" w:type="dxa"/>
              <w:left w:w="140" w:type="dxa"/>
              <w:right w:w="140" w:type="dxa"/>
            </w:tcMar>
          </w:tcPr>
          <w:p>
            <w:r>
              <w:rPr>
                <w:rFonts w:ascii="Arial" w:hAnsi="Arial"/>
                <w:color w:val="0F172A"/>
                <w:sz w:val="18"/>
              </w:rPr>
              <w:t>Talento Subutilizado</w:t>
            </w:r>
          </w:p>
        </w:tc>
        <w:tc>
          <w:tcPr>
            <w:tcW w:type="dxa" w:w="2592"/>
            <w:shd w:fill="F8FAFC"/>
            <w:tcMar>
              <w:top w:w="100" w:type="dxa"/>
              <w:bottom w:w="100" w:type="dxa"/>
              <w:left w:w="140" w:type="dxa"/>
              <w:right w:w="140" w:type="dxa"/>
            </w:tcMar>
          </w:tcPr>
          <w:p>
            <w:r>
              <w:rPr>
                <w:rFonts w:ascii="Arial" w:hAnsi="Arial"/>
                <w:color w:val="0F172A"/>
                <w:sz w:val="18"/>
              </w:rPr>
              <w:t>Regentes calmando reclamos por desabastecimiento.</w:t>
            </w:r>
          </w:p>
        </w:tc>
        <w:tc>
          <w:tcPr>
            <w:tcW w:type="dxa" w:w="3168"/>
            <w:shd w:fill="F8FAFC"/>
            <w:tcMar>
              <w:top w:w="100" w:type="dxa"/>
              <w:bottom w:w="100" w:type="dxa"/>
              <w:left w:w="140" w:type="dxa"/>
              <w:right w:w="140" w:type="dxa"/>
            </w:tcMar>
          </w:tcPr>
          <w:p>
            <w:r>
              <w:rPr>
                <w:rFonts w:ascii="Arial" w:hAnsi="Arial"/>
                <w:color w:val="0F172A"/>
                <w:sz w:val="18"/>
              </w:rPr>
              <w:t>Picking previo en bodega y entrega en 90 segundos.</w:t>
            </w:r>
          </w:p>
        </w:tc>
        <w:tc>
          <w:tcPr>
            <w:tcW w:type="dxa" w:w="1440"/>
            <w:shd w:fill="F8FAFC"/>
            <w:tcMar>
              <w:top w:w="100" w:type="dxa"/>
              <w:bottom w:w="100" w:type="dxa"/>
              <w:left w:w="140" w:type="dxa"/>
              <w:right w:w="140" w:type="dxa"/>
            </w:tcMar>
          </w:tcPr>
          <w:p>
            <w:r>
              <w:rPr>
                <w:rFonts w:ascii="Arial" w:hAnsi="Arial"/>
                <w:color w:val="0F172A"/>
                <w:sz w:val="18"/>
              </w:rPr>
              <w:t>+40% productividad.</w:t>
            </w:r>
          </w:p>
        </w:tc>
      </w:tr>
    </w:tbl>
    <w:p>
      <w:pPr>
        <w:spacing w:after="160"/>
      </w:pPr>
    </w:p>
    <w:p>
      <w:r>
        <w:br w:type="page"/>
      </w:r>
    </w:p>
    <w:p>
      <w:pPr>
        <w:pStyle w:val="Heading1"/>
      </w:pPr>
      <w:r>
        <w:rPr>
          <w:rFonts w:ascii="Arial" w:hAnsi="Arial"/>
          <w:color w:val="004884"/>
        </w:rPr>
        <w:t>FASE 2: DESPLIEGUE DE LOS 7 PRINCIPIOS GUÍA DE ITIL 4</w:t>
      </w:r>
    </w:p>
    <w:p>
      <w:r>
        <w:t>A continuación se presenta la matriz de justificación técnica y de ingeniería donde se sustenta cómo cada principio resolvió un desafío del caso de estudio:</w:t>
      </w:r>
    </w:p>
    <w:tbl>
      <w:tblPr>
        <w:tblW w:type="auto" w:w="0"/>
        <w:jc w:val="center"/>
        <w:tblLook w:firstColumn="1" w:firstRow="1" w:lastColumn="0" w:lastRow="0" w:noHBand="0" w:noVBand="1" w:val="04A0"/>
      </w:tblPr>
      <w:tblGrid>
        <w:gridCol w:w="2340"/>
        <w:gridCol w:w="2340"/>
        <w:gridCol w:w="2340"/>
        <w:gridCol w:w="2340"/>
      </w:tblGrid>
      <w:tr>
        <w:tc>
          <w:tcPr>
            <w:tcW w:type="dxa" w:w="2016"/>
            <w:shd w:fill="004884"/>
            <w:tcMar>
              <w:top w:w="120" w:type="dxa"/>
              <w:bottom w:w="120" w:type="dxa"/>
              <w:left w:w="140" w:type="dxa"/>
              <w:right w:w="140" w:type="dxa"/>
            </w:tcMar>
          </w:tcPr>
          <w:p>
            <w:pPr>
              <w:jc w:val="left"/>
            </w:pPr>
            <w:r>
              <w:rPr>
                <w:rFonts w:ascii="Arial" w:hAnsi="Arial"/>
                <w:b/>
                <w:color w:val="FFFFFF"/>
                <w:sz w:val="19"/>
              </w:rPr>
              <w:t>Principio ITIL 4</w:t>
            </w:r>
          </w:p>
        </w:tc>
        <w:tc>
          <w:tcPr>
            <w:tcW w:type="dxa" w:w="2592"/>
            <w:shd w:fill="004884"/>
            <w:tcMar>
              <w:top w:w="120" w:type="dxa"/>
              <w:bottom w:w="120" w:type="dxa"/>
              <w:left w:w="140" w:type="dxa"/>
              <w:right w:w="140" w:type="dxa"/>
            </w:tcMar>
          </w:tcPr>
          <w:p>
            <w:pPr>
              <w:jc w:val="left"/>
            </w:pPr>
            <w:r>
              <w:rPr>
                <w:rFonts w:ascii="Arial" w:hAnsi="Arial"/>
                <w:b/>
                <w:color w:val="FFFFFF"/>
                <w:sz w:val="19"/>
              </w:rPr>
              <w:t>Decisión Tecnológica</w:t>
            </w:r>
          </w:p>
        </w:tc>
        <w:tc>
          <w:tcPr>
            <w:tcW w:type="dxa" w:w="3024"/>
            <w:shd w:fill="004884"/>
            <w:tcMar>
              <w:top w:w="120" w:type="dxa"/>
              <w:bottom w:w="120" w:type="dxa"/>
              <w:left w:w="140" w:type="dxa"/>
              <w:right w:w="140" w:type="dxa"/>
            </w:tcMar>
          </w:tcPr>
          <w:p>
            <w:pPr>
              <w:jc w:val="left"/>
            </w:pPr>
            <w:r>
              <w:rPr>
                <w:rFonts w:ascii="Arial" w:hAnsi="Arial"/>
                <w:b/>
                <w:color w:val="FFFFFF"/>
                <w:sz w:val="19"/>
              </w:rPr>
              <w:t>Justificación Técnica (¿Por qué?)</w:t>
            </w:r>
          </w:p>
        </w:tc>
        <w:tc>
          <w:tcPr>
            <w:tcW w:type="dxa" w:w="1728"/>
            <w:shd w:fill="004884"/>
            <w:tcMar>
              <w:top w:w="120" w:type="dxa"/>
              <w:bottom w:w="120" w:type="dxa"/>
              <w:left w:w="140" w:type="dxa"/>
              <w:right w:w="140" w:type="dxa"/>
            </w:tcMar>
          </w:tcPr>
          <w:p>
            <w:pPr>
              <w:jc w:val="left"/>
            </w:pPr>
            <w:r>
              <w:rPr>
                <w:rFonts w:ascii="Arial" w:hAnsi="Arial"/>
                <w:b/>
                <w:color w:val="FFFFFF"/>
                <w:sz w:val="19"/>
              </w:rPr>
              <w:t>Impacto Medible</w:t>
            </w:r>
          </w:p>
        </w:tc>
      </w:tr>
      <w:tr>
        <w:tc>
          <w:tcPr>
            <w:tcW w:type="dxa" w:w="2016"/>
            <w:shd w:fill="FFFFFF"/>
            <w:tcMar>
              <w:top w:w="100" w:type="dxa"/>
              <w:bottom w:w="100" w:type="dxa"/>
              <w:left w:w="140" w:type="dxa"/>
              <w:right w:w="140" w:type="dxa"/>
            </w:tcMar>
          </w:tcPr>
          <w:p>
            <w:r>
              <w:rPr>
                <w:rFonts w:ascii="Arial" w:hAnsi="Arial"/>
                <w:color w:val="0F172A"/>
                <w:sz w:val="18"/>
              </w:rPr>
              <w:t>1. Focus on Value</w:t>
            </w:r>
          </w:p>
        </w:tc>
        <w:tc>
          <w:tcPr>
            <w:tcW w:type="dxa" w:w="2592"/>
            <w:shd w:fill="FFFFFF"/>
            <w:tcMar>
              <w:top w:w="100" w:type="dxa"/>
              <w:bottom w:w="100" w:type="dxa"/>
              <w:left w:w="140" w:type="dxa"/>
              <w:right w:w="140" w:type="dxa"/>
            </w:tcMar>
          </w:tcPr>
          <w:p>
            <w:r>
              <w:rPr>
                <w:rFonts w:ascii="Arial" w:hAnsi="Arial"/>
                <w:color w:val="0F172A"/>
                <w:sz w:val="18"/>
              </w:rPr>
              <w:t>Ventanilla preferencial física Turno Express sincronizada con código QR.</w:t>
            </w:r>
          </w:p>
        </w:tc>
        <w:tc>
          <w:tcPr>
            <w:tcW w:type="dxa" w:w="3024"/>
            <w:shd w:fill="FFFFFF"/>
            <w:tcMar>
              <w:top w:w="100" w:type="dxa"/>
              <w:bottom w:w="100" w:type="dxa"/>
              <w:left w:w="140" w:type="dxa"/>
              <w:right w:w="140" w:type="dxa"/>
            </w:tcMar>
          </w:tcPr>
          <w:p>
            <w:r>
              <w:rPr>
                <w:rFonts w:ascii="Arial" w:hAnsi="Arial"/>
                <w:color w:val="0F172A"/>
                <w:sz w:val="18"/>
              </w:rPr>
              <w:t>El valor en salud es tiempo y vida; las colas deterioran la adherencia y multiplican sanciones.</w:t>
            </w:r>
          </w:p>
        </w:tc>
        <w:tc>
          <w:tcPr>
            <w:tcW w:type="dxa" w:w="1728"/>
            <w:shd w:fill="FFFFFF"/>
            <w:tcMar>
              <w:top w:w="100" w:type="dxa"/>
              <w:bottom w:w="100" w:type="dxa"/>
              <w:left w:w="140" w:type="dxa"/>
              <w:right w:w="140" w:type="dxa"/>
            </w:tcMar>
          </w:tcPr>
          <w:p>
            <w:r>
              <w:rPr>
                <w:rFonts w:ascii="Arial" w:hAnsi="Arial"/>
                <w:color w:val="0F172A"/>
                <w:sz w:val="18"/>
              </w:rPr>
              <w:t>Ahorro de 3.2h por visita; -72% en quejas SuperSalud.</w:t>
            </w:r>
          </w:p>
        </w:tc>
      </w:tr>
      <w:tr>
        <w:tc>
          <w:tcPr>
            <w:tcW w:type="dxa" w:w="2016"/>
            <w:shd w:fill="F8FAFC"/>
            <w:tcMar>
              <w:top w:w="100" w:type="dxa"/>
              <w:bottom w:w="100" w:type="dxa"/>
              <w:left w:w="140" w:type="dxa"/>
              <w:right w:w="140" w:type="dxa"/>
            </w:tcMar>
          </w:tcPr>
          <w:p>
            <w:r>
              <w:rPr>
                <w:rFonts w:ascii="Arial" w:hAnsi="Arial"/>
                <w:color w:val="0F172A"/>
                <w:sz w:val="18"/>
              </w:rPr>
              <w:t>2. Start Where You Are</w:t>
            </w:r>
          </w:p>
        </w:tc>
        <w:tc>
          <w:tcPr>
            <w:tcW w:type="dxa" w:w="2592"/>
            <w:shd w:fill="F8FAFC"/>
            <w:tcMar>
              <w:top w:w="100" w:type="dxa"/>
              <w:bottom w:w="100" w:type="dxa"/>
              <w:left w:w="140" w:type="dxa"/>
              <w:right w:w="140" w:type="dxa"/>
            </w:tcMar>
          </w:tcPr>
          <w:p>
            <w:r>
              <w:rPr>
                <w:rFonts w:ascii="Arial" w:hAnsi="Arial"/>
                <w:color w:val="0F172A"/>
                <w:sz w:val="18"/>
              </w:rPr>
              <w:t>Middleware API sobre ERPs existentes de Audifarma, Cafam y Cruz Verde.</w:t>
            </w:r>
          </w:p>
        </w:tc>
        <w:tc>
          <w:tcPr>
            <w:tcW w:type="dxa" w:w="3024"/>
            <w:shd w:fill="F8FAFC"/>
            <w:tcMar>
              <w:top w:w="100" w:type="dxa"/>
              <w:bottom w:w="100" w:type="dxa"/>
              <w:left w:w="140" w:type="dxa"/>
              <w:right w:w="140" w:type="dxa"/>
            </w:tcMar>
          </w:tcPr>
          <w:p>
            <w:r>
              <w:rPr>
                <w:rFonts w:ascii="Arial" w:hAnsi="Arial"/>
                <w:color w:val="0F172A"/>
                <w:sz w:val="18"/>
              </w:rPr>
              <w:t>Reemplazar el software de las cadenas costaría millones de dólares y años de litigio.</w:t>
            </w:r>
          </w:p>
        </w:tc>
        <w:tc>
          <w:tcPr>
            <w:tcW w:type="dxa" w:w="1728"/>
            <w:shd w:fill="F8FAFC"/>
            <w:tcMar>
              <w:top w:w="100" w:type="dxa"/>
              <w:bottom w:w="100" w:type="dxa"/>
              <w:left w:w="140" w:type="dxa"/>
              <w:right w:w="140" w:type="dxa"/>
            </w:tcMar>
          </w:tcPr>
          <w:p>
            <w:r>
              <w:rPr>
                <w:rFonts w:ascii="Arial" w:hAnsi="Arial"/>
                <w:color w:val="0F172A"/>
                <w:sz w:val="18"/>
              </w:rPr>
              <w:t>Ahorro del 85% en CapEx; salida en 90 días.</w:t>
            </w:r>
          </w:p>
        </w:tc>
      </w:tr>
      <w:tr>
        <w:tc>
          <w:tcPr>
            <w:tcW w:type="dxa" w:w="2016"/>
            <w:shd w:fill="FFFFFF"/>
            <w:tcMar>
              <w:top w:w="100" w:type="dxa"/>
              <w:bottom w:w="100" w:type="dxa"/>
              <w:left w:w="140" w:type="dxa"/>
              <w:right w:w="140" w:type="dxa"/>
            </w:tcMar>
          </w:tcPr>
          <w:p>
            <w:r>
              <w:rPr>
                <w:rFonts w:ascii="Arial" w:hAnsi="Arial"/>
                <w:color w:val="0F172A"/>
                <w:sz w:val="18"/>
              </w:rPr>
              <w:t>3. Progress Iteratively</w:t>
            </w:r>
          </w:p>
        </w:tc>
        <w:tc>
          <w:tcPr>
            <w:tcW w:type="dxa" w:w="2592"/>
            <w:shd w:fill="FFFFFF"/>
            <w:tcMar>
              <w:top w:w="100" w:type="dxa"/>
              <w:bottom w:w="100" w:type="dxa"/>
              <w:left w:w="140" w:type="dxa"/>
              <w:right w:w="140" w:type="dxa"/>
            </w:tcMar>
          </w:tcPr>
          <w:p>
            <w:r>
              <w:rPr>
                <w:rFonts w:ascii="Arial" w:hAnsi="Arial"/>
                <w:color w:val="0F172A"/>
                <w:sz w:val="18"/>
              </w:rPr>
              <w:t>MVP v1.0 en 50 medicamentos crónicos en 20 dispensarios piloto.</w:t>
            </w:r>
          </w:p>
        </w:tc>
        <w:tc>
          <w:tcPr>
            <w:tcW w:type="dxa" w:w="3024"/>
            <w:shd w:fill="FFFFFF"/>
            <w:tcMar>
              <w:top w:w="100" w:type="dxa"/>
              <w:bottom w:w="100" w:type="dxa"/>
              <w:left w:w="140" w:type="dxa"/>
              <w:right w:w="140" w:type="dxa"/>
            </w:tcMar>
          </w:tcPr>
          <w:p>
            <w:r>
              <w:rPr>
                <w:rFonts w:ascii="Arial" w:hAnsi="Arial"/>
                <w:color w:val="0F172A"/>
                <w:sz w:val="18"/>
              </w:rPr>
              <w:t>Validar sincronización de inventario en entorno controlado antes de abrir a 10M de usuarios.</w:t>
            </w:r>
          </w:p>
        </w:tc>
        <w:tc>
          <w:tcPr>
            <w:tcW w:type="dxa" w:w="1728"/>
            <w:shd w:fill="FFFFFF"/>
            <w:tcMar>
              <w:top w:w="100" w:type="dxa"/>
              <w:bottom w:w="100" w:type="dxa"/>
              <w:left w:w="140" w:type="dxa"/>
              <w:right w:w="140" w:type="dxa"/>
            </w:tcMar>
          </w:tcPr>
          <w:p>
            <w:r>
              <w:rPr>
                <w:rFonts w:ascii="Arial" w:hAnsi="Arial"/>
                <w:color w:val="0F172A"/>
                <w:sz w:val="18"/>
              </w:rPr>
              <w:t>14 fallas corregidas a tiempo; CSAT 91.4%.</w:t>
            </w:r>
          </w:p>
        </w:tc>
      </w:tr>
      <w:tr>
        <w:tc>
          <w:tcPr>
            <w:tcW w:type="dxa" w:w="2016"/>
            <w:shd w:fill="F8FAFC"/>
            <w:tcMar>
              <w:top w:w="100" w:type="dxa"/>
              <w:bottom w:w="100" w:type="dxa"/>
              <w:left w:w="140" w:type="dxa"/>
              <w:right w:w="140" w:type="dxa"/>
            </w:tcMar>
          </w:tcPr>
          <w:p>
            <w:r>
              <w:rPr>
                <w:rFonts w:ascii="Arial" w:hAnsi="Arial"/>
                <w:color w:val="0F172A"/>
                <w:sz w:val="18"/>
              </w:rPr>
              <w:t>4. Promote Visibility</w:t>
            </w:r>
          </w:p>
        </w:tc>
        <w:tc>
          <w:tcPr>
            <w:tcW w:type="dxa" w:w="2592"/>
            <w:shd w:fill="F8FAFC"/>
            <w:tcMar>
              <w:top w:w="100" w:type="dxa"/>
              <w:bottom w:w="100" w:type="dxa"/>
              <w:left w:w="140" w:type="dxa"/>
              <w:right w:w="140" w:type="dxa"/>
            </w:tcMar>
          </w:tcPr>
          <w:p>
            <w:r>
              <w:rPr>
                <w:rFonts w:ascii="Arial" w:hAnsi="Arial"/>
                <w:color w:val="0F172A"/>
                <w:sz w:val="18"/>
              </w:rPr>
              <w:t>Semáforo visual público de stock (Verde/Amarillo/Rojo) y Dashboard Ejecutivo.</w:t>
            </w:r>
          </w:p>
        </w:tc>
        <w:tc>
          <w:tcPr>
            <w:tcW w:type="dxa" w:w="3024"/>
            <w:shd w:fill="F8FAFC"/>
            <w:tcMar>
              <w:top w:w="100" w:type="dxa"/>
              <w:bottom w:w="100" w:type="dxa"/>
              <w:left w:w="140" w:type="dxa"/>
              <w:right w:w="140" w:type="dxa"/>
            </w:tcMar>
          </w:tcPr>
          <w:p>
            <w:r>
              <w:rPr>
                <w:rFonts w:ascii="Arial" w:hAnsi="Arial"/>
                <w:color w:val="0F172A"/>
                <w:sz w:val="18"/>
              </w:rPr>
              <w:t>La opacidad genera aglomeraciones por pánico; compartir el dato veraz alinea la cadena.</w:t>
            </w:r>
          </w:p>
        </w:tc>
        <w:tc>
          <w:tcPr>
            <w:tcW w:type="dxa" w:w="1728"/>
            <w:shd w:fill="F8FAFC"/>
            <w:tcMar>
              <w:top w:w="100" w:type="dxa"/>
              <w:bottom w:w="100" w:type="dxa"/>
              <w:left w:w="140" w:type="dxa"/>
              <w:right w:w="140" w:type="dxa"/>
            </w:tcMar>
          </w:tcPr>
          <w:p>
            <w:r>
              <w:rPr>
                <w:rFonts w:ascii="Arial" w:hAnsi="Arial"/>
                <w:color w:val="0F172A"/>
                <w:sz w:val="18"/>
              </w:rPr>
              <w:t>-55% llamadas telefónicas; aplanamiento de horas pico.</w:t>
            </w:r>
          </w:p>
        </w:tc>
      </w:tr>
      <w:tr>
        <w:tc>
          <w:tcPr>
            <w:tcW w:type="dxa" w:w="2016"/>
            <w:shd w:fill="FFFFFF"/>
            <w:tcMar>
              <w:top w:w="100" w:type="dxa"/>
              <w:bottom w:w="100" w:type="dxa"/>
              <w:left w:w="140" w:type="dxa"/>
              <w:right w:w="140" w:type="dxa"/>
            </w:tcMar>
          </w:tcPr>
          <w:p>
            <w:r>
              <w:rPr>
                <w:rFonts w:ascii="Arial" w:hAnsi="Arial"/>
                <w:color w:val="0F172A"/>
                <w:sz w:val="18"/>
              </w:rPr>
              <w:t>5. Think Holistically</w:t>
            </w:r>
          </w:p>
        </w:tc>
        <w:tc>
          <w:tcPr>
            <w:tcW w:type="dxa" w:w="2592"/>
            <w:shd w:fill="FFFFFF"/>
            <w:tcMar>
              <w:top w:w="100" w:type="dxa"/>
              <w:bottom w:w="100" w:type="dxa"/>
              <w:left w:w="140" w:type="dxa"/>
              <w:right w:w="140" w:type="dxa"/>
            </w:tcMar>
          </w:tcPr>
          <w:p>
            <w:r>
              <w:rPr>
                <w:rFonts w:ascii="Arial" w:hAnsi="Arial"/>
                <w:color w:val="0F172A"/>
                <w:sz w:val="18"/>
              </w:rPr>
              <w:t>Integración de app digital con capacidad física de taquilla y pre-picking en bodega.</w:t>
            </w:r>
          </w:p>
        </w:tc>
        <w:tc>
          <w:tcPr>
            <w:tcW w:type="dxa" w:w="3024"/>
            <w:shd w:fill="FFFFFF"/>
            <w:tcMar>
              <w:top w:w="100" w:type="dxa"/>
              <w:bottom w:w="100" w:type="dxa"/>
              <w:left w:w="140" w:type="dxa"/>
              <w:right w:w="140" w:type="dxa"/>
            </w:tcMar>
          </w:tcPr>
          <w:p>
            <w:r>
              <w:rPr>
                <w:rFonts w:ascii="Arial" w:hAnsi="Arial"/>
                <w:color w:val="0F172A"/>
                <w:sz w:val="18"/>
              </w:rPr>
              <w:t>El software rápido colapsa si el dispensario físico no tiene ventanilla ni personal alineado.</w:t>
            </w:r>
          </w:p>
        </w:tc>
        <w:tc>
          <w:tcPr>
            <w:tcW w:type="dxa" w:w="1728"/>
            <w:shd w:fill="FFFFFF"/>
            <w:tcMar>
              <w:top w:w="100" w:type="dxa"/>
              <w:bottom w:w="100" w:type="dxa"/>
              <w:left w:w="140" w:type="dxa"/>
              <w:right w:w="140" w:type="dxa"/>
            </w:tcMar>
          </w:tcPr>
          <w:p>
            <w:r>
              <w:rPr>
                <w:rFonts w:ascii="Arial" w:hAnsi="Arial"/>
                <w:color w:val="0F172A"/>
                <w:sz w:val="18"/>
              </w:rPr>
              <w:t>+40% en capacidad de atención en mostrador.</w:t>
            </w:r>
          </w:p>
        </w:tc>
      </w:tr>
      <w:tr>
        <w:tc>
          <w:tcPr>
            <w:tcW w:type="dxa" w:w="2016"/>
            <w:shd w:fill="F8FAFC"/>
            <w:tcMar>
              <w:top w:w="100" w:type="dxa"/>
              <w:bottom w:w="100" w:type="dxa"/>
              <w:left w:w="140" w:type="dxa"/>
              <w:right w:w="140" w:type="dxa"/>
            </w:tcMar>
          </w:tcPr>
          <w:p>
            <w:r>
              <w:rPr>
                <w:rFonts w:ascii="Arial" w:hAnsi="Arial"/>
                <w:color w:val="0F172A"/>
                <w:sz w:val="18"/>
              </w:rPr>
              <w:t>6. Keep It Simple</w:t>
            </w:r>
          </w:p>
        </w:tc>
        <w:tc>
          <w:tcPr>
            <w:tcW w:type="dxa" w:w="2592"/>
            <w:shd w:fill="F8FAFC"/>
            <w:tcMar>
              <w:top w:w="100" w:type="dxa"/>
              <w:bottom w:w="100" w:type="dxa"/>
              <w:left w:w="140" w:type="dxa"/>
              <w:right w:w="140" w:type="dxa"/>
            </w:tcMar>
          </w:tcPr>
          <w:p>
            <w:r>
              <w:rPr>
                <w:rFonts w:ascii="Arial" w:hAnsi="Arial"/>
                <w:color w:val="0F172A"/>
                <w:sz w:val="18"/>
              </w:rPr>
              <w:t>Regla de los 3 Clics, modo accesible WCAG 2.1 AA y canal de WhatsApp.</w:t>
            </w:r>
          </w:p>
        </w:tc>
        <w:tc>
          <w:tcPr>
            <w:tcW w:type="dxa" w:w="3024"/>
            <w:shd w:fill="F8FAFC"/>
            <w:tcMar>
              <w:top w:w="100" w:type="dxa"/>
              <w:bottom w:w="100" w:type="dxa"/>
              <w:left w:w="140" w:type="dxa"/>
              <w:right w:w="140" w:type="dxa"/>
            </w:tcMar>
          </w:tcPr>
          <w:p>
            <w:r>
              <w:rPr>
                <w:rFonts w:ascii="Arial" w:hAnsi="Arial"/>
                <w:color w:val="0F172A"/>
                <w:sz w:val="18"/>
              </w:rPr>
              <w:t>Más del 45% de usuarios crónicos son adultos mayores con baja alfabetización digital.</w:t>
            </w:r>
          </w:p>
        </w:tc>
        <w:tc>
          <w:tcPr>
            <w:tcW w:type="dxa" w:w="1728"/>
            <w:shd w:fill="F8FAFC"/>
            <w:tcMar>
              <w:top w:w="100" w:type="dxa"/>
              <w:bottom w:w="100" w:type="dxa"/>
              <w:left w:w="140" w:type="dxa"/>
              <w:right w:w="140" w:type="dxa"/>
            </w:tcMar>
          </w:tcPr>
          <w:p>
            <w:r>
              <w:rPr>
                <w:rFonts w:ascii="Arial" w:hAnsi="Arial"/>
                <w:color w:val="0F172A"/>
                <w:sz w:val="18"/>
              </w:rPr>
              <w:t>71.8% de adopción digital (meta: 65%).</w:t>
            </w:r>
          </w:p>
        </w:tc>
      </w:tr>
      <w:tr>
        <w:tc>
          <w:tcPr>
            <w:tcW w:type="dxa" w:w="2016"/>
            <w:shd w:fill="FFFFFF"/>
            <w:tcMar>
              <w:top w:w="100" w:type="dxa"/>
              <w:bottom w:w="100" w:type="dxa"/>
              <w:left w:w="140" w:type="dxa"/>
              <w:right w:w="140" w:type="dxa"/>
            </w:tcMar>
          </w:tcPr>
          <w:p>
            <w:r>
              <w:rPr>
                <w:rFonts w:ascii="Arial" w:hAnsi="Arial"/>
                <w:color w:val="0F172A"/>
                <w:sz w:val="18"/>
              </w:rPr>
              <w:t>7. Optimize &amp; Automate</w:t>
            </w:r>
          </w:p>
        </w:tc>
        <w:tc>
          <w:tcPr>
            <w:tcW w:type="dxa" w:w="2592"/>
            <w:shd w:fill="FFFFFF"/>
            <w:tcMar>
              <w:top w:w="100" w:type="dxa"/>
              <w:bottom w:w="100" w:type="dxa"/>
              <w:left w:w="140" w:type="dxa"/>
              <w:right w:w="140" w:type="dxa"/>
            </w:tcMar>
          </w:tcPr>
          <w:p>
            <w:r>
              <w:rPr>
                <w:rFonts w:ascii="Arial" w:hAnsi="Arial"/>
                <w:color w:val="0F172A"/>
                <w:sz w:val="18"/>
              </w:rPr>
              <w:t>Triggers de reabastecimiento en nube (stock &lt;15%) y notificaciones automáticas.</w:t>
            </w:r>
          </w:p>
        </w:tc>
        <w:tc>
          <w:tcPr>
            <w:tcW w:type="dxa" w:w="3024"/>
            <w:shd w:fill="FFFFFF"/>
            <w:tcMar>
              <w:top w:w="100" w:type="dxa"/>
              <w:bottom w:w="100" w:type="dxa"/>
              <w:left w:w="140" w:type="dxa"/>
              <w:right w:w="140" w:type="dxa"/>
            </w:tcMar>
          </w:tcPr>
          <w:p>
            <w:r>
              <w:rPr>
                <w:rFonts w:ascii="Arial" w:hAnsi="Arial"/>
                <w:color w:val="0F172A"/>
                <w:sz w:val="18"/>
              </w:rPr>
              <w:t>Sustituir llamadas manuales entre bodegas por eventos de reposición en tiempo real.</w:t>
            </w:r>
          </w:p>
        </w:tc>
        <w:tc>
          <w:tcPr>
            <w:tcW w:type="dxa" w:w="1728"/>
            <w:shd w:fill="FFFFFF"/>
            <w:tcMar>
              <w:top w:w="100" w:type="dxa"/>
              <w:bottom w:w="100" w:type="dxa"/>
              <w:left w:w="140" w:type="dxa"/>
              <w:right w:w="140" w:type="dxa"/>
            </w:tcMar>
          </w:tcPr>
          <w:p>
            <w:r>
              <w:rPr>
                <w:rFonts w:ascii="Arial" w:hAnsi="Arial"/>
                <w:color w:val="0F172A"/>
                <w:sz w:val="18"/>
              </w:rPr>
              <w:t>-88% quiebres imprevistos; fidelidad 98.6%.</w:t>
            </w:r>
          </w:p>
        </w:tc>
      </w:tr>
    </w:tbl>
    <w:p>
      <w:pPr>
        <w:spacing w:after="160"/>
      </w:pPr>
    </w:p>
    <w:p>
      <w:r>
        <w:br w:type="page"/>
      </w:r>
    </w:p>
    <w:p>
      <w:pPr>
        <w:pStyle w:val="Heading1"/>
      </w:pPr>
      <w:r>
        <w:rPr>
          <w:rFonts w:ascii="Arial" w:hAnsi="Arial"/>
          <w:color w:val="004884"/>
        </w:rPr>
        <w:t>FASE 3: ACUERDOS DE NIVEL DE SERVICIO (SLAs) E INDICADORES (KPIs)</w:t>
      </w:r>
    </w:p>
    <w:p>
      <w:pPr>
        <w:pStyle w:val="Heading2"/>
      </w:pPr>
      <w:r>
        <w:t>1. Acuerdos de Nivel de Servicio (SLAs 24/7) y su Cumplimiento Técnico</w:t>
      </w:r>
    </w:p>
    <w:tbl>
      <w:tblPr>
        <w:tblW w:type="auto" w:w="0"/>
        <w:jc w:val="center"/>
        <w:tblLook w:firstColumn="1" w:firstRow="1" w:lastColumn="0" w:lastRow="0" w:noHBand="0" w:noVBand="1" w:val="04A0"/>
      </w:tblPr>
      <w:tblGrid>
        <w:gridCol w:w="2340"/>
        <w:gridCol w:w="2340"/>
        <w:gridCol w:w="2340"/>
        <w:gridCol w:w="2340"/>
      </w:tblGrid>
      <w:tr>
        <w:tc>
          <w:tcPr>
            <w:tcW w:type="dxa" w:w="2304"/>
            <w:shd w:fill="004884"/>
            <w:tcMar>
              <w:top w:w="120" w:type="dxa"/>
              <w:bottom w:w="120" w:type="dxa"/>
              <w:left w:w="140" w:type="dxa"/>
              <w:right w:w="140" w:type="dxa"/>
            </w:tcMar>
          </w:tcPr>
          <w:p>
            <w:pPr>
              <w:jc w:val="left"/>
            </w:pPr>
            <w:r>
              <w:rPr>
                <w:rFonts w:ascii="Arial" w:hAnsi="Arial"/>
                <w:b/>
                <w:color w:val="FFFFFF"/>
                <w:sz w:val="19"/>
              </w:rPr>
              <w:t>Parámetro SLA</w:t>
            </w:r>
          </w:p>
        </w:tc>
        <w:tc>
          <w:tcPr>
            <w:tcW w:type="dxa" w:w="1728"/>
            <w:shd w:fill="004884"/>
            <w:tcMar>
              <w:top w:w="120" w:type="dxa"/>
              <w:bottom w:w="120" w:type="dxa"/>
              <w:left w:w="140" w:type="dxa"/>
              <w:right w:w="140" w:type="dxa"/>
            </w:tcMar>
          </w:tcPr>
          <w:p>
            <w:pPr>
              <w:jc w:val="left"/>
            </w:pPr>
            <w:r>
              <w:rPr>
                <w:rFonts w:ascii="Arial" w:hAnsi="Arial"/>
                <w:b/>
                <w:color w:val="FFFFFF"/>
                <w:sz w:val="19"/>
              </w:rPr>
              <w:t>Meta</w:t>
            </w:r>
          </w:p>
        </w:tc>
        <w:tc>
          <w:tcPr>
            <w:tcW w:type="dxa" w:w="1584"/>
            <w:shd w:fill="004884"/>
            <w:tcMar>
              <w:top w:w="120" w:type="dxa"/>
              <w:bottom w:w="120" w:type="dxa"/>
              <w:left w:w="140" w:type="dxa"/>
              <w:right w:w="140" w:type="dxa"/>
            </w:tcMar>
          </w:tcPr>
          <w:p>
            <w:pPr>
              <w:jc w:val="left"/>
            </w:pPr>
            <w:r>
              <w:rPr>
                <w:rFonts w:ascii="Arial" w:hAnsi="Arial"/>
                <w:b/>
                <w:color w:val="FFFFFF"/>
                <w:sz w:val="19"/>
              </w:rPr>
              <w:t>Logrado</w:t>
            </w:r>
          </w:p>
        </w:tc>
        <w:tc>
          <w:tcPr>
            <w:tcW w:type="dxa" w:w="3744"/>
            <w:shd w:fill="004884"/>
            <w:tcMar>
              <w:top w:w="120" w:type="dxa"/>
              <w:bottom w:w="120" w:type="dxa"/>
              <w:left w:w="140" w:type="dxa"/>
              <w:right w:w="140" w:type="dxa"/>
            </w:tcMar>
          </w:tcPr>
          <w:p>
            <w:pPr>
              <w:jc w:val="left"/>
            </w:pPr>
            <w:r>
              <w:rPr>
                <w:rFonts w:ascii="Arial" w:hAnsi="Arial"/>
                <w:b/>
                <w:color w:val="FFFFFF"/>
                <w:sz w:val="19"/>
              </w:rPr>
              <w:t>¿Cómo se logra técnicamente en la vida real?</w:t>
            </w:r>
          </w:p>
        </w:tc>
      </w:tr>
      <w:tr>
        <w:tc>
          <w:tcPr>
            <w:tcW w:type="dxa" w:w="2304"/>
            <w:shd w:fill="FFFFFF"/>
            <w:tcMar>
              <w:top w:w="100" w:type="dxa"/>
              <w:bottom w:w="100" w:type="dxa"/>
              <w:left w:w="140" w:type="dxa"/>
              <w:right w:w="140" w:type="dxa"/>
            </w:tcMar>
          </w:tcPr>
          <w:p>
            <w:r>
              <w:rPr>
                <w:rFonts w:ascii="Arial" w:hAnsi="Arial"/>
                <w:color w:val="0F172A"/>
                <w:sz w:val="18"/>
              </w:rPr>
              <w:t>Disponibilidad (Uptime)</w:t>
            </w:r>
          </w:p>
        </w:tc>
        <w:tc>
          <w:tcPr>
            <w:tcW w:type="dxa" w:w="1728"/>
            <w:shd w:fill="FFFFFF"/>
            <w:tcMar>
              <w:top w:w="100" w:type="dxa"/>
              <w:bottom w:w="100" w:type="dxa"/>
              <w:left w:w="140" w:type="dxa"/>
              <w:right w:w="140" w:type="dxa"/>
            </w:tcMar>
          </w:tcPr>
          <w:p>
            <w:r>
              <w:rPr>
                <w:rFonts w:ascii="Arial" w:hAnsi="Arial"/>
                <w:color w:val="0F172A"/>
                <w:sz w:val="18"/>
              </w:rPr>
              <w:t>≥ 99.90%</w:t>
            </w:r>
          </w:p>
        </w:tc>
        <w:tc>
          <w:tcPr>
            <w:tcW w:type="dxa" w:w="1584"/>
            <w:shd w:fill="FFFFFF"/>
            <w:tcMar>
              <w:top w:w="100" w:type="dxa"/>
              <w:bottom w:w="100" w:type="dxa"/>
              <w:left w:w="140" w:type="dxa"/>
              <w:right w:w="140" w:type="dxa"/>
            </w:tcMar>
          </w:tcPr>
          <w:p>
            <w:r>
              <w:rPr>
                <w:rFonts w:ascii="Arial" w:hAnsi="Arial"/>
                <w:color w:val="0F172A"/>
                <w:sz w:val="18"/>
              </w:rPr>
              <w:t>99.94%</w:t>
            </w:r>
          </w:p>
        </w:tc>
        <w:tc>
          <w:tcPr>
            <w:tcW w:type="dxa" w:w="3744"/>
            <w:shd w:fill="FFFFFF"/>
            <w:tcMar>
              <w:top w:w="100" w:type="dxa"/>
              <w:bottom w:w="100" w:type="dxa"/>
              <w:left w:w="140" w:type="dxa"/>
              <w:right w:w="140" w:type="dxa"/>
            </w:tcMar>
          </w:tcPr>
          <w:p>
            <w:r>
              <w:rPr>
                <w:rFonts w:ascii="Arial" w:hAnsi="Arial"/>
                <w:color w:val="0F172A"/>
                <w:sz w:val="18"/>
              </w:rPr>
              <w:t>Arquitectura AWS Multi-AZ (3 datacenters en paralelo), auto-scaling en horas pico y auto-healing en 3s ante caídas de contenedores.</w:t>
            </w:r>
          </w:p>
        </w:tc>
      </w:tr>
      <w:tr>
        <w:tc>
          <w:tcPr>
            <w:tcW w:type="dxa" w:w="2304"/>
            <w:shd w:fill="F8FAFC"/>
            <w:tcMar>
              <w:top w:w="100" w:type="dxa"/>
              <w:bottom w:w="100" w:type="dxa"/>
              <w:left w:w="140" w:type="dxa"/>
              <w:right w:w="140" w:type="dxa"/>
            </w:tcMar>
          </w:tcPr>
          <w:p>
            <w:r>
              <w:rPr>
                <w:rFonts w:ascii="Arial" w:hAnsi="Arial"/>
                <w:color w:val="0F172A"/>
                <w:sz w:val="18"/>
              </w:rPr>
              <w:t>Latencia de Consulta</w:t>
            </w:r>
          </w:p>
        </w:tc>
        <w:tc>
          <w:tcPr>
            <w:tcW w:type="dxa" w:w="1728"/>
            <w:shd w:fill="F8FAFC"/>
            <w:tcMar>
              <w:top w:w="100" w:type="dxa"/>
              <w:bottom w:w="100" w:type="dxa"/>
              <w:left w:w="140" w:type="dxa"/>
              <w:right w:w="140" w:type="dxa"/>
            </w:tcMar>
          </w:tcPr>
          <w:p>
            <w:r>
              <w:rPr>
                <w:rFonts w:ascii="Arial" w:hAnsi="Arial"/>
                <w:color w:val="0F172A"/>
                <w:sz w:val="18"/>
              </w:rPr>
              <w:t>&lt; 1.50 s (P95)</w:t>
            </w:r>
          </w:p>
        </w:tc>
        <w:tc>
          <w:tcPr>
            <w:tcW w:type="dxa" w:w="1584"/>
            <w:shd w:fill="F8FAFC"/>
            <w:tcMar>
              <w:top w:w="100" w:type="dxa"/>
              <w:bottom w:w="100" w:type="dxa"/>
              <w:left w:w="140" w:type="dxa"/>
              <w:right w:w="140" w:type="dxa"/>
            </w:tcMar>
          </w:tcPr>
          <w:p>
            <w:r>
              <w:rPr>
                <w:rFonts w:ascii="Arial" w:hAnsi="Arial"/>
                <w:color w:val="0F172A"/>
                <w:sz w:val="18"/>
              </w:rPr>
              <w:t>1.18 s</w:t>
            </w:r>
          </w:p>
        </w:tc>
        <w:tc>
          <w:tcPr>
            <w:tcW w:type="dxa" w:w="3744"/>
            <w:shd w:fill="F8FAFC"/>
            <w:tcMar>
              <w:top w:w="100" w:type="dxa"/>
              <w:bottom w:w="100" w:type="dxa"/>
              <w:left w:w="140" w:type="dxa"/>
              <w:right w:w="140" w:type="dxa"/>
            </w:tcMar>
          </w:tcPr>
          <w:p>
            <w:r>
              <w:rPr>
                <w:rFonts w:ascii="Arial" w:hAnsi="Arial"/>
                <w:color w:val="0F172A"/>
                <w:sz w:val="18"/>
              </w:rPr>
              <w:t>Clúster Redis ElastiCache en memoria RAM (respuestas en 8 a 15 ms) y entrega de assets en el borde nacional con CDN Cloudflare.</w:t>
            </w:r>
          </w:p>
        </w:tc>
      </w:tr>
      <w:tr>
        <w:tc>
          <w:tcPr>
            <w:tcW w:type="dxa" w:w="2304"/>
            <w:shd w:fill="FFFFFF"/>
            <w:tcMar>
              <w:top w:w="100" w:type="dxa"/>
              <w:bottom w:w="100" w:type="dxa"/>
              <w:left w:w="140" w:type="dxa"/>
              <w:right w:w="140" w:type="dxa"/>
            </w:tcMar>
          </w:tcPr>
          <w:p>
            <w:r>
              <w:rPr>
                <w:rFonts w:ascii="Arial" w:hAnsi="Arial"/>
                <w:color w:val="0F172A"/>
                <w:sz w:val="18"/>
              </w:rPr>
              <w:t>Tiempo de Recuperación (MTTR)</w:t>
            </w:r>
          </w:p>
        </w:tc>
        <w:tc>
          <w:tcPr>
            <w:tcW w:type="dxa" w:w="1728"/>
            <w:shd w:fill="FFFFFF"/>
            <w:tcMar>
              <w:top w:w="100" w:type="dxa"/>
              <w:bottom w:w="100" w:type="dxa"/>
              <w:left w:w="140" w:type="dxa"/>
              <w:right w:w="140" w:type="dxa"/>
            </w:tcMar>
          </w:tcPr>
          <w:p>
            <w:r>
              <w:rPr>
                <w:rFonts w:ascii="Arial" w:hAnsi="Arial"/>
                <w:color w:val="0F172A"/>
                <w:sz w:val="18"/>
              </w:rPr>
              <w:t>&lt; 30 min</w:t>
            </w:r>
          </w:p>
        </w:tc>
        <w:tc>
          <w:tcPr>
            <w:tcW w:type="dxa" w:w="1584"/>
            <w:shd w:fill="FFFFFF"/>
            <w:tcMar>
              <w:top w:w="100" w:type="dxa"/>
              <w:bottom w:w="100" w:type="dxa"/>
              <w:left w:w="140" w:type="dxa"/>
              <w:right w:w="140" w:type="dxa"/>
            </w:tcMar>
          </w:tcPr>
          <w:p>
            <w:r>
              <w:rPr>
                <w:rFonts w:ascii="Arial" w:hAnsi="Arial"/>
                <w:color w:val="0F172A"/>
                <w:sz w:val="18"/>
              </w:rPr>
              <w:t>18 min</w:t>
            </w:r>
          </w:p>
        </w:tc>
        <w:tc>
          <w:tcPr>
            <w:tcW w:type="dxa" w:w="3744"/>
            <w:shd w:fill="FFFFFF"/>
            <w:tcMar>
              <w:top w:w="100" w:type="dxa"/>
              <w:bottom w:w="100" w:type="dxa"/>
              <w:left w:w="140" w:type="dxa"/>
              <w:right w:w="140" w:type="dxa"/>
            </w:tcMar>
          </w:tcPr>
          <w:p>
            <w:r>
              <w:rPr>
                <w:rFonts w:ascii="Arial" w:hAnsi="Arial"/>
                <w:color w:val="0F172A"/>
                <w:sz w:val="18"/>
              </w:rPr>
              <w:t>Telemetría proactiva Datadog/CloudWatch con alarmas PagerDuty automáticas, runbooks preprogramados y rollback en 1 clic.</w:t>
            </w:r>
          </w:p>
        </w:tc>
      </w:tr>
      <w:tr>
        <w:tc>
          <w:tcPr>
            <w:tcW w:type="dxa" w:w="2304"/>
            <w:shd w:fill="F8FAFC"/>
            <w:tcMar>
              <w:top w:w="100" w:type="dxa"/>
              <w:bottom w:w="100" w:type="dxa"/>
              <w:left w:w="140" w:type="dxa"/>
              <w:right w:w="140" w:type="dxa"/>
            </w:tcMar>
          </w:tcPr>
          <w:p>
            <w:r>
              <w:rPr>
                <w:rFonts w:ascii="Arial" w:hAnsi="Arial"/>
                <w:color w:val="0F172A"/>
                <w:sz w:val="18"/>
              </w:rPr>
              <w:t>Punto de Pérdida (RPO)</w:t>
            </w:r>
          </w:p>
        </w:tc>
        <w:tc>
          <w:tcPr>
            <w:tcW w:type="dxa" w:w="1728"/>
            <w:shd w:fill="F8FAFC"/>
            <w:tcMar>
              <w:top w:w="100" w:type="dxa"/>
              <w:bottom w:w="100" w:type="dxa"/>
              <w:left w:w="140" w:type="dxa"/>
              <w:right w:w="140" w:type="dxa"/>
            </w:tcMar>
          </w:tcPr>
          <w:p>
            <w:r>
              <w:rPr>
                <w:rFonts w:ascii="Arial" w:hAnsi="Arial"/>
                <w:color w:val="0F172A"/>
                <w:sz w:val="18"/>
              </w:rPr>
              <w:t>&lt; 5 min</w:t>
            </w:r>
          </w:p>
        </w:tc>
        <w:tc>
          <w:tcPr>
            <w:tcW w:type="dxa" w:w="1584"/>
            <w:shd w:fill="F8FAFC"/>
            <w:tcMar>
              <w:top w:w="100" w:type="dxa"/>
              <w:bottom w:w="100" w:type="dxa"/>
              <w:left w:w="140" w:type="dxa"/>
              <w:right w:w="140" w:type="dxa"/>
            </w:tcMar>
          </w:tcPr>
          <w:p>
            <w:r>
              <w:rPr>
                <w:rFonts w:ascii="Arial" w:hAnsi="Arial"/>
                <w:color w:val="0F172A"/>
                <w:sz w:val="18"/>
              </w:rPr>
              <w:t>1.5 min</w:t>
            </w:r>
          </w:p>
        </w:tc>
        <w:tc>
          <w:tcPr>
            <w:tcW w:type="dxa" w:w="3744"/>
            <w:shd w:fill="F8FAFC"/>
            <w:tcMar>
              <w:top w:w="100" w:type="dxa"/>
              <w:bottom w:w="100" w:type="dxa"/>
              <w:left w:w="140" w:type="dxa"/>
              <w:right w:w="140" w:type="dxa"/>
            </w:tcMar>
          </w:tcPr>
          <w:p>
            <w:r>
              <w:rPr>
                <w:rFonts w:ascii="Arial" w:hAnsi="Arial"/>
                <w:color w:val="0F172A"/>
                <w:sz w:val="18"/>
              </w:rPr>
              <w:t>Replicación continua de logs de base de datos Aurora PostgreSQL y almacenamiento inmutable en Amazon S3.</w:t>
            </w:r>
          </w:p>
        </w:tc>
      </w:tr>
      <w:tr>
        <w:tc>
          <w:tcPr>
            <w:tcW w:type="dxa" w:w="2304"/>
            <w:shd w:fill="FFFFFF"/>
            <w:tcMar>
              <w:top w:w="100" w:type="dxa"/>
              <w:bottom w:w="100" w:type="dxa"/>
              <w:left w:w="140" w:type="dxa"/>
              <w:right w:w="140" w:type="dxa"/>
            </w:tcMar>
          </w:tcPr>
          <w:p>
            <w:r>
              <w:rPr>
                <w:rFonts w:ascii="Arial" w:hAnsi="Arial"/>
                <w:color w:val="0F172A"/>
                <w:sz w:val="18"/>
              </w:rPr>
              <w:t>Tiempo de Desastre (RTO)</w:t>
            </w:r>
          </w:p>
        </w:tc>
        <w:tc>
          <w:tcPr>
            <w:tcW w:type="dxa" w:w="1728"/>
            <w:shd w:fill="FFFFFF"/>
            <w:tcMar>
              <w:top w:w="100" w:type="dxa"/>
              <w:bottom w:w="100" w:type="dxa"/>
              <w:left w:w="140" w:type="dxa"/>
              <w:right w:w="140" w:type="dxa"/>
            </w:tcMar>
          </w:tcPr>
          <w:p>
            <w:r>
              <w:rPr>
                <w:rFonts w:ascii="Arial" w:hAnsi="Arial"/>
                <w:color w:val="0F172A"/>
                <w:sz w:val="18"/>
              </w:rPr>
              <w:t>&lt; 15 min</w:t>
            </w:r>
          </w:p>
        </w:tc>
        <w:tc>
          <w:tcPr>
            <w:tcW w:type="dxa" w:w="1584"/>
            <w:shd w:fill="FFFFFF"/>
            <w:tcMar>
              <w:top w:w="100" w:type="dxa"/>
              <w:bottom w:w="100" w:type="dxa"/>
              <w:left w:w="140" w:type="dxa"/>
              <w:right w:w="140" w:type="dxa"/>
            </w:tcMar>
          </w:tcPr>
          <w:p>
            <w:r>
              <w:rPr>
                <w:rFonts w:ascii="Arial" w:hAnsi="Arial"/>
                <w:color w:val="0F172A"/>
                <w:sz w:val="18"/>
              </w:rPr>
              <w:t>11 min</w:t>
            </w:r>
          </w:p>
        </w:tc>
        <w:tc>
          <w:tcPr>
            <w:tcW w:type="dxa" w:w="3744"/>
            <w:shd w:fill="FFFFFF"/>
            <w:tcMar>
              <w:top w:w="100" w:type="dxa"/>
              <w:bottom w:w="100" w:type="dxa"/>
              <w:left w:w="140" w:type="dxa"/>
              <w:right w:w="140" w:type="dxa"/>
            </w:tcMar>
          </w:tcPr>
          <w:p>
            <w:r>
              <w:rPr>
                <w:rFonts w:ascii="Arial" w:hAnsi="Arial"/>
                <w:color w:val="0F172A"/>
                <w:sz w:val="18"/>
              </w:rPr>
              <w:t>Infraestructura como Código (Terraform) lista para recrear la plataforma completa en región secundaria.</w:t>
            </w:r>
          </w:p>
        </w:tc>
      </w:tr>
    </w:tbl>
    <w:p>
      <w:pPr>
        <w:spacing w:after="240"/>
      </w:pPr>
    </w:p>
    <w:p>
      <w:pPr>
        <w:pStyle w:val="Heading2"/>
      </w:pPr>
      <w:r>
        <w:t>2. Dos Grupos de Indicadores Clave de Gestión (KPIs)</w:t>
      </w:r>
    </w:p>
    <w:p>
      <w:pPr>
        <w:pStyle w:val="Heading3"/>
      </w:pPr>
      <w:r>
        <w:t>Grupo 1: Indicadores de Experiencia, Servicio y Descongestión del Paciente</w:t>
      </w:r>
    </w:p>
    <w:tbl>
      <w:tblPr>
        <w:tblW w:type="auto" w:w="0"/>
        <w:jc w:val="center"/>
        <w:tblLook w:firstColumn="1" w:firstRow="1" w:lastColumn="0" w:lastRow="0" w:noHBand="0" w:noVBand="1" w:val="04A0"/>
      </w:tblPr>
      <w:tblGrid>
        <w:gridCol w:w="2340"/>
        <w:gridCol w:w="2340"/>
        <w:gridCol w:w="2340"/>
        <w:gridCol w:w="2340"/>
      </w:tblGrid>
      <w:tr>
        <w:tc>
          <w:tcPr>
            <w:tcW w:type="dxa" w:w="2592"/>
            <w:shd w:fill="004884"/>
            <w:tcMar>
              <w:top w:w="120" w:type="dxa"/>
              <w:bottom w:w="120" w:type="dxa"/>
              <w:left w:w="140" w:type="dxa"/>
              <w:right w:w="140" w:type="dxa"/>
            </w:tcMar>
          </w:tcPr>
          <w:p>
            <w:pPr>
              <w:jc w:val="left"/>
            </w:pPr>
            <w:r>
              <w:rPr>
                <w:rFonts w:ascii="Arial" w:hAnsi="Arial"/>
                <w:b/>
                <w:color w:val="FFFFFF"/>
                <w:sz w:val="19"/>
              </w:rPr>
              <w:t>Indicador (KPI)</w:t>
            </w:r>
          </w:p>
        </w:tc>
        <w:tc>
          <w:tcPr>
            <w:tcW w:type="dxa" w:w="1728"/>
            <w:shd w:fill="004884"/>
            <w:tcMar>
              <w:top w:w="120" w:type="dxa"/>
              <w:bottom w:w="120" w:type="dxa"/>
              <w:left w:w="140" w:type="dxa"/>
              <w:right w:w="140" w:type="dxa"/>
            </w:tcMar>
          </w:tcPr>
          <w:p>
            <w:pPr>
              <w:jc w:val="left"/>
            </w:pPr>
            <w:r>
              <w:rPr>
                <w:rFonts w:ascii="Arial" w:hAnsi="Arial"/>
                <w:b/>
                <w:color w:val="FFFFFF"/>
                <w:sz w:val="19"/>
              </w:rPr>
              <w:t>Meta</w:t>
            </w:r>
          </w:p>
        </w:tc>
        <w:tc>
          <w:tcPr>
            <w:tcW w:type="dxa" w:w="1728"/>
            <w:shd w:fill="004884"/>
            <w:tcMar>
              <w:top w:w="120" w:type="dxa"/>
              <w:bottom w:w="120" w:type="dxa"/>
              <w:left w:w="140" w:type="dxa"/>
              <w:right w:w="140" w:type="dxa"/>
            </w:tcMar>
          </w:tcPr>
          <w:p>
            <w:pPr>
              <w:jc w:val="left"/>
            </w:pPr>
            <w:r>
              <w:rPr>
                <w:rFonts w:ascii="Arial" w:hAnsi="Arial"/>
                <w:b/>
                <w:color w:val="FFFFFF"/>
                <w:sz w:val="19"/>
              </w:rPr>
              <w:t>Logrado</w:t>
            </w:r>
          </w:p>
        </w:tc>
        <w:tc>
          <w:tcPr>
            <w:tcW w:type="dxa" w:w="3312"/>
            <w:shd w:fill="004884"/>
            <w:tcMar>
              <w:top w:w="120" w:type="dxa"/>
              <w:bottom w:w="120" w:type="dxa"/>
              <w:left w:w="140" w:type="dxa"/>
              <w:right w:w="140" w:type="dxa"/>
            </w:tcMar>
          </w:tcPr>
          <w:p>
            <w:pPr>
              <w:jc w:val="left"/>
            </w:pPr>
            <w:r>
              <w:rPr>
                <w:rFonts w:ascii="Arial" w:hAnsi="Arial"/>
                <w:b/>
                <w:color w:val="FFFFFF"/>
                <w:sz w:val="19"/>
              </w:rPr>
              <w:t>Mecanismo Operativo de Cumplimiento</w:t>
            </w:r>
          </w:p>
        </w:tc>
      </w:tr>
      <w:tr>
        <w:tc>
          <w:tcPr>
            <w:tcW w:type="dxa" w:w="2592"/>
            <w:shd w:fill="FFFFFF"/>
            <w:tcMar>
              <w:top w:w="100" w:type="dxa"/>
              <w:bottom w:w="100" w:type="dxa"/>
              <w:left w:w="140" w:type="dxa"/>
              <w:right w:w="140" w:type="dxa"/>
            </w:tcMar>
          </w:tcPr>
          <w:p>
            <w:r>
              <w:rPr>
                <w:rFonts w:ascii="Arial" w:hAnsi="Arial"/>
                <w:color w:val="0F172A"/>
                <w:sz w:val="18"/>
              </w:rPr>
              <w:t>Reducción de Filas</w:t>
            </w:r>
          </w:p>
        </w:tc>
        <w:tc>
          <w:tcPr>
            <w:tcW w:type="dxa" w:w="1728"/>
            <w:shd w:fill="FFFFFF"/>
            <w:tcMar>
              <w:top w:w="100" w:type="dxa"/>
              <w:bottom w:w="100" w:type="dxa"/>
              <w:left w:w="140" w:type="dxa"/>
              <w:right w:w="140" w:type="dxa"/>
            </w:tcMar>
          </w:tcPr>
          <w:p>
            <w:r>
              <w:rPr>
                <w:rFonts w:ascii="Arial" w:hAnsi="Arial"/>
                <w:color w:val="0F172A"/>
                <w:sz w:val="18"/>
              </w:rPr>
              <w:t>≥ 60.0%</w:t>
            </w:r>
          </w:p>
        </w:tc>
        <w:tc>
          <w:tcPr>
            <w:tcW w:type="dxa" w:w="1728"/>
            <w:shd w:fill="FFFFFF"/>
            <w:tcMar>
              <w:top w:w="100" w:type="dxa"/>
              <w:bottom w:w="100" w:type="dxa"/>
              <w:left w:w="140" w:type="dxa"/>
              <w:right w:w="140" w:type="dxa"/>
            </w:tcMar>
          </w:tcPr>
          <w:p>
            <w:r>
              <w:rPr>
                <w:rFonts w:ascii="Arial" w:hAnsi="Arial"/>
                <w:color w:val="0F172A"/>
                <w:sz w:val="18"/>
              </w:rPr>
              <w:t>64.2% (15 min)</w:t>
            </w:r>
          </w:p>
        </w:tc>
        <w:tc>
          <w:tcPr>
            <w:tcW w:type="dxa" w:w="3312"/>
            <w:shd w:fill="FFFFFF"/>
            <w:tcMar>
              <w:top w:w="100" w:type="dxa"/>
              <w:bottom w:w="100" w:type="dxa"/>
              <w:left w:w="140" w:type="dxa"/>
              <w:right w:w="140" w:type="dxa"/>
            </w:tcMar>
          </w:tcPr>
          <w:p>
            <w:r>
              <w:rPr>
                <w:rFonts w:ascii="Arial" w:hAnsi="Arial"/>
                <w:color w:val="0F172A"/>
                <w:sz w:val="18"/>
              </w:rPr>
              <w:t>Aplanamiento de demanda con citas en franjas de 15 min y pre-picking de medicinas en bodega.</w:t>
            </w:r>
          </w:p>
        </w:tc>
      </w:tr>
      <w:tr>
        <w:tc>
          <w:tcPr>
            <w:tcW w:type="dxa" w:w="2592"/>
            <w:shd w:fill="F8FAFC"/>
            <w:tcMar>
              <w:top w:w="100" w:type="dxa"/>
              <w:bottom w:w="100" w:type="dxa"/>
              <w:left w:w="140" w:type="dxa"/>
              <w:right w:w="140" w:type="dxa"/>
            </w:tcMar>
          </w:tcPr>
          <w:p>
            <w:r>
              <w:rPr>
                <w:rFonts w:ascii="Arial" w:hAnsi="Arial"/>
                <w:color w:val="0F172A"/>
                <w:sz w:val="18"/>
              </w:rPr>
              <w:t>Exactitud de Inventario</w:t>
            </w:r>
          </w:p>
        </w:tc>
        <w:tc>
          <w:tcPr>
            <w:tcW w:type="dxa" w:w="1728"/>
            <w:shd w:fill="F8FAFC"/>
            <w:tcMar>
              <w:top w:w="100" w:type="dxa"/>
              <w:bottom w:w="100" w:type="dxa"/>
              <w:left w:w="140" w:type="dxa"/>
              <w:right w:w="140" w:type="dxa"/>
            </w:tcMar>
          </w:tcPr>
          <w:p>
            <w:r>
              <w:rPr>
                <w:rFonts w:ascii="Arial" w:hAnsi="Arial"/>
                <w:color w:val="0F172A"/>
                <w:sz w:val="18"/>
              </w:rPr>
              <w:t>≥ 98.0%</w:t>
            </w:r>
          </w:p>
        </w:tc>
        <w:tc>
          <w:tcPr>
            <w:tcW w:type="dxa" w:w="1728"/>
            <w:shd w:fill="F8FAFC"/>
            <w:tcMar>
              <w:top w:w="100" w:type="dxa"/>
              <w:bottom w:w="100" w:type="dxa"/>
              <w:left w:w="140" w:type="dxa"/>
              <w:right w:w="140" w:type="dxa"/>
            </w:tcMar>
          </w:tcPr>
          <w:p>
            <w:r>
              <w:rPr>
                <w:rFonts w:ascii="Arial" w:hAnsi="Arial"/>
                <w:color w:val="0F172A"/>
                <w:sz w:val="18"/>
              </w:rPr>
              <w:t>98.6%</w:t>
            </w:r>
          </w:p>
        </w:tc>
        <w:tc>
          <w:tcPr>
            <w:tcW w:type="dxa" w:w="3312"/>
            <w:shd w:fill="F8FAFC"/>
            <w:tcMar>
              <w:top w:w="100" w:type="dxa"/>
              <w:bottom w:w="100" w:type="dxa"/>
              <w:left w:w="140" w:type="dxa"/>
              <w:right w:w="140" w:type="dxa"/>
            </w:tcMar>
          </w:tcPr>
          <w:p>
            <w:r>
              <w:rPr>
                <w:rFonts w:ascii="Arial" w:hAnsi="Arial"/>
                <w:color w:val="0F172A"/>
                <w:sz w:val="18"/>
              </w:rPr>
              <w:t>Soft-Locking temporal por 4 horas en Redis y pistoleo láser obligatorio de códigos Datamatrix.</w:t>
            </w:r>
          </w:p>
        </w:tc>
      </w:tr>
      <w:tr>
        <w:tc>
          <w:tcPr>
            <w:tcW w:type="dxa" w:w="2592"/>
            <w:shd w:fill="FFFFFF"/>
            <w:tcMar>
              <w:top w:w="100" w:type="dxa"/>
              <w:bottom w:w="100" w:type="dxa"/>
              <w:left w:w="140" w:type="dxa"/>
              <w:right w:w="140" w:type="dxa"/>
            </w:tcMar>
          </w:tcPr>
          <w:p>
            <w:r>
              <w:rPr>
                <w:rFonts w:ascii="Arial" w:hAnsi="Arial"/>
                <w:color w:val="0F172A"/>
                <w:sz w:val="18"/>
              </w:rPr>
              <w:t>Satisfacción (CSAT)</w:t>
            </w:r>
          </w:p>
        </w:tc>
        <w:tc>
          <w:tcPr>
            <w:tcW w:type="dxa" w:w="1728"/>
            <w:shd w:fill="FFFFFF"/>
            <w:tcMar>
              <w:top w:w="100" w:type="dxa"/>
              <w:bottom w:w="100" w:type="dxa"/>
              <w:left w:w="140" w:type="dxa"/>
              <w:right w:w="140" w:type="dxa"/>
            </w:tcMar>
          </w:tcPr>
          <w:p>
            <w:r>
              <w:rPr>
                <w:rFonts w:ascii="Arial" w:hAnsi="Arial"/>
                <w:color w:val="0F172A"/>
                <w:sz w:val="18"/>
              </w:rPr>
              <w:t>≥ 85.0%</w:t>
            </w:r>
          </w:p>
        </w:tc>
        <w:tc>
          <w:tcPr>
            <w:tcW w:type="dxa" w:w="1728"/>
            <w:shd w:fill="FFFFFF"/>
            <w:tcMar>
              <w:top w:w="100" w:type="dxa"/>
              <w:bottom w:w="100" w:type="dxa"/>
              <w:left w:w="140" w:type="dxa"/>
              <w:right w:w="140" w:type="dxa"/>
            </w:tcMar>
          </w:tcPr>
          <w:p>
            <w:r>
              <w:rPr>
                <w:rFonts w:ascii="Arial" w:hAnsi="Arial"/>
                <w:color w:val="0F172A"/>
                <w:sz w:val="18"/>
              </w:rPr>
              <w:t>91.4%</w:t>
            </w:r>
          </w:p>
        </w:tc>
        <w:tc>
          <w:tcPr>
            <w:tcW w:type="dxa" w:w="3312"/>
            <w:shd w:fill="FFFFFF"/>
            <w:tcMar>
              <w:top w:w="100" w:type="dxa"/>
              <w:bottom w:w="100" w:type="dxa"/>
              <w:left w:w="140" w:type="dxa"/>
              <w:right w:w="140" w:type="dxa"/>
            </w:tcMar>
          </w:tcPr>
          <w:p>
            <w:r>
              <w:rPr>
                <w:rFonts w:ascii="Arial" w:hAnsi="Arial"/>
                <w:color w:val="0F172A"/>
                <w:sz w:val="18"/>
              </w:rPr>
              <w:t>Fin de colas a la intemperie y micro-encuesta automática de 1 toque tras dispensar.</w:t>
            </w:r>
          </w:p>
        </w:tc>
      </w:tr>
      <w:tr>
        <w:tc>
          <w:tcPr>
            <w:tcW w:type="dxa" w:w="2592"/>
            <w:shd w:fill="F8FAFC"/>
            <w:tcMar>
              <w:top w:w="100" w:type="dxa"/>
              <w:bottom w:w="100" w:type="dxa"/>
              <w:left w:w="140" w:type="dxa"/>
              <w:right w:w="140" w:type="dxa"/>
            </w:tcMar>
          </w:tcPr>
          <w:p>
            <w:r>
              <w:rPr>
                <w:rFonts w:ascii="Arial" w:hAnsi="Arial"/>
                <w:color w:val="0F172A"/>
                <w:sz w:val="18"/>
              </w:rPr>
              <w:t>Resolución Primer Contacto (FCR)</w:t>
            </w:r>
          </w:p>
        </w:tc>
        <w:tc>
          <w:tcPr>
            <w:tcW w:type="dxa" w:w="1728"/>
            <w:shd w:fill="F8FAFC"/>
            <w:tcMar>
              <w:top w:w="100" w:type="dxa"/>
              <w:bottom w:w="100" w:type="dxa"/>
              <w:left w:w="140" w:type="dxa"/>
              <w:right w:w="140" w:type="dxa"/>
            </w:tcMar>
          </w:tcPr>
          <w:p>
            <w:r>
              <w:rPr>
                <w:rFonts w:ascii="Arial" w:hAnsi="Arial"/>
                <w:color w:val="0F172A"/>
                <w:sz w:val="18"/>
              </w:rPr>
              <w:t>≥ 80.0%</w:t>
            </w:r>
          </w:p>
        </w:tc>
        <w:tc>
          <w:tcPr>
            <w:tcW w:type="dxa" w:w="1728"/>
            <w:shd w:fill="F8FAFC"/>
            <w:tcMar>
              <w:top w:w="100" w:type="dxa"/>
              <w:bottom w:w="100" w:type="dxa"/>
              <w:left w:w="140" w:type="dxa"/>
              <w:right w:w="140" w:type="dxa"/>
            </w:tcMar>
          </w:tcPr>
          <w:p>
            <w:r>
              <w:rPr>
                <w:rFonts w:ascii="Arial" w:hAnsi="Arial"/>
                <w:color w:val="0F172A"/>
                <w:sz w:val="18"/>
              </w:rPr>
              <w:t>84.7%</w:t>
            </w:r>
          </w:p>
        </w:tc>
        <w:tc>
          <w:tcPr>
            <w:tcW w:type="dxa" w:w="3312"/>
            <w:shd w:fill="F8FAFC"/>
            <w:tcMar>
              <w:top w:w="100" w:type="dxa"/>
              <w:bottom w:w="100" w:type="dxa"/>
              <w:left w:w="140" w:type="dxa"/>
              <w:right w:w="140" w:type="dxa"/>
            </w:tcMar>
          </w:tcPr>
          <w:p>
            <w:r>
              <w:rPr>
                <w:rFonts w:ascii="Arial" w:hAnsi="Arial"/>
                <w:color w:val="0F172A"/>
                <w:sz w:val="18"/>
              </w:rPr>
              <w:t>El paciente solo acude a sedes con stock garantizado en verde, evitando peregrinajes.</w:t>
            </w:r>
          </w:p>
        </w:tc>
      </w:tr>
    </w:tbl>
    <w:p>
      <w:pPr>
        <w:spacing w:after="160"/>
      </w:pPr>
    </w:p>
    <w:p>
      <w:pPr>
        <w:pStyle w:val="Heading3"/>
      </w:pPr>
      <w:r>
        <w:t>Grupo 2: Indicadores de Rendimiento Técnico, Continuidad y Eficiencia Operacional</w:t>
      </w:r>
    </w:p>
    <w:tbl>
      <w:tblPr>
        <w:tblW w:type="auto" w:w="0"/>
        <w:jc w:val="center"/>
        <w:tblLook w:firstColumn="1" w:firstRow="1" w:lastColumn="0" w:lastRow="0" w:noHBand="0" w:noVBand="1" w:val="04A0"/>
      </w:tblPr>
      <w:tblGrid>
        <w:gridCol w:w="2340"/>
        <w:gridCol w:w="2340"/>
        <w:gridCol w:w="2340"/>
        <w:gridCol w:w="2340"/>
      </w:tblGrid>
      <w:tr>
        <w:tc>
          <w:tcPr>
            <w:tcW w:type="dxa" w:w="2592"/>
            <w:shd w:fill="004884"/>
            <w:tcMar>
              <w:top w:w="120" w:type="dxa"/>
              <w:bottom w:w="120" w:type="dxa"/>
              <w:left w:w="140" w:type="dxa"/>
              <w:right w:w="140" w:type="dxa"/>
            </w:tcMar>
          </w:tcPr>
          <w:p>
            <w:pPr>
              <w:jc w:val="left"/>
            </w:pPr>
            <w:r>
              <w:rPr>
                <w:rFonts w:ascii="Arial" w:hAnsi="Arial"/>
                <w:b/>
                <w:color w:val="FFFFFF"/>
                <w:sz w:val="19"/>
              </w:rPr>
              <w:t>Indicador (KPI)</w:t>
            </w:r>
          </w:p>
        </w:tc>
        <w:tc>
          <w:tcPr>
            <w:tcW w:type="dxa" w:w="1728"/>
            <w:shd w:fill="004884"/>
            <w:tcMar>
              <w:top w:w="120" w:type="dxa"/>
              <w:bottom w:w="120" w:type="dxa"/>
              <w:left w:w="140" w:type="dxa"/>
              <w:right w:w="140" w:type="dxa"/>
            </w:tcMar>
          </w:tcPr>
          <w:p>
            <w:pPr>
              <w:jc w:val="left"/>
            </w:pPr>
            <w:r>
              <w:rPr>
                <w:rFonts w:ascii="Arial" w:hAnsi="Arial"/>
                <w:b/>
                <w:color w:val="FFFFFF"/>
                <w:sz w:val="19"/>
              </w:rPr>
              <w:t>Meta</w:t>
            </w:r>
          </w:p>
        </w:tc>
        <w:tc>
          <w:tcPr>
            <w:tcW w:type="dxa" w:w="1728"/>
            <w:shd w:fill="004884"/>
            <w:tcMar>
              <w:top w:w="120" w:type="dxa"/>
              <w:bottom w:w="120" w:type="dxa"/>
              <w:left w:w="140" w:type="dxa"/>
              <w:right w:w="140" w:type="dxa"/>
            </w:tcMar>
          </w:tcPr>
          <w:p>
            <w:pPr>
              <w:jc w:val="left"/>
            </w:pPr>
            <w:r>
              <w:rPr>
                <w:rFonts w:ascii="Arial" w:hAnsi="Arial"/>
                <w:b/>
                <w:color w:val="FFFFFF"/>
                <w:sz w:val="19"/>
              </w:rPr>
              <w:t>Logrado</w:t>
            </w:r>
          </w:p>
        </w:tc>
        <w:tc>
          <w:tcPr>
            <w:tcW w:type="dxa" w:w="3312"/>
            <w:shd w:fill="004884"/>
            <w:tcMar>
              <w:top w:w="120" w:type="dxa"/>
              <w:bottom w:w="120" w:type="dxa"/>
              <w:left w:w="140" w:type="dxa"/>
              <w:right w:w="140" w:type="dxa"/>
            </w:tcMar>
          </w:tcPr>
          <w:p>
            <w:pPr>
              <w:jc w:val="left"/>
            </w:pPr>
            <w:r>
              <w:rPr>
                <w:rFonts w:ascii="Arial" w:hAnsi="Arial"/>
                <w:b/>
                <w:color w:val="FFFFFF"/>
                <w:sz w:val="19"/>
              </w:rPr>
              <w:t>Mecanismo Técnico de Cumplimiento</w:t>
            </w:r>
          </w:p>
        </w:tc>
      </w:tr>
      <w:tr>
        <w:tc>
          <w:tcPr>
            <w:tcW w:type="dxa" w:w="2592"/>
            <w:shd w:fill="FFFFFF"/>
            <w:tcMar>
              <w:top w:w="100" w:type="dxa"/>
              <w:bottom w:w="100" w:type="dxa"/>
              <w:left w:w="140" w:type="dxa"/>
              <w:right w:w="140" w:type="dxa"/>
            </w:tcMar>
          </w:tcPr>
          <w:p>
            <w:r>
              <w:rPr>
                <w:rFonts w:ascii="Arial" w:hAnsi="Arial"/>
                <w:color w:val="0F172A"/>
                <w:sz w:val="18"/>
              </w:rPr>
              <w:t>Adopción Omnicanal</w:t>
            </w:r>
          </w:p>
        </w:tc>
        <w:tc>
          <w:tcPr>
            <w:tcW w:type="dxa" w:w="1728"/>
            <w:shd w:fill="FFFFFF"/>
            <w:tcMar>
              <w:top w:w="100" w:type="dxa"/>
              <w:bottom w:w="100" w:type="dxa"/>
              <w:left w:w="140" w:type="dxa"/>
              <w:right w:w="140" w:type="dxa"/>
            </w:tcMar>
          </w:tcPr>
          <w:p>
            <w:r>
              <w:rPr>
                <w:rFonts w:ascii="Arial" w:hAnsi="Arial"/>
                <w:color w:val="0F172A"/>
                <w:sz w:val="18"/>
              </w:rPr>
              <w:t>≥ 65.0%</w:t>
            </w:r>
          </w:p>
        </w:tc>
        <w:tc>
          <w:tcPr>
            <w:tcW w:type="dxa" w:w="1728"/>
            <w:shd w:fill="FFFFFF"/>
            <w:tcMar>
              <w:top w:w="100" w:type="dxa"/>
              <w:bottom w:w="100" w:type="dxa"/>
              <w:left w:w="140" w:type="dxa"/>
              <w:right w:w="140" w:type="dxa"/>
            </w:tcMar>
          </w:tcPr>
          <w:p>
            <w:r>
              <w:rPr>
                <w:rFonts w:ascii="Arial" w:hAnsi="Arial"/>
                <w:color w:val="0F172A"/>
                <w:sz w:val="18"/>
              </w:rPr>
              <w:t>71.8%</w:t>
            </w:r>
          </w:p>
        </w:tc>
        <w:tc>
          <w:tcPr>
            <w:tcW w:type="dxa" w:w="3312"/>
            <w:shd w:fill="FFFFFF"/>
            <w:tcMar>
              <w:top w:w="100" w:type="dxa"/>
              <w:bottom w:w="100" w:type="dxa"/>
              <w:left w:w="140" w:type="dxa"/>
              <w:right w:w="140" w:type="dxa"/>
            </w:tcMar>
          </w:tcPr>
          <w:p>
            <w:r>
              <w:rPr>
                <w:rFonts w:ascii="Arial" w:hAnsi="Arial"/>
                <w:color w:val="0F172A"/>
                <w:sz w:val="18"/>
              </w:rPr>
              <w:t>Canal conversacional oficial en WhatsApp Business Cloud API y diseño accesible en 3 clics.</w:t>
            </w:r>
          </w:p>
        </w:tc>
      </w:tr>
      <w:tr>
        <w:tc>
          <w:tcPr>
            <w:tcW w:type="dxa" w:w="2592"/>
            <w:shd w:fill="F8FAFC"/>
            <w:tcMar>
              <w:top w:w="100" w:type="dxa"/>
              <w:bottom w:w="100" w:type="dxa"/>
              <w:left w:w="140" w:type="dxa"/>
              <w:right w:w="140" w:type="dxa"/>
            </w:tcMar>
          </w:tcPr>
          <w:p>
            <w:r>
              <w:rPr>
                <w:rFonts w:ascii="Arial" w:hAnsi="Arial"/>
                <w:color w:val="0F172A"/>
                <w:sz w:val="18"/>
              </w:rPr>
              <w:t>Latencia de Sincronización</w:t>
            </w:r>
          </w:p>
        </w:tc>
        <w:tc>
          <w:tcPr>
            <w:tcW w:type="dxa" w:w="1728"/>
            <w:shd w:fill="F8FAFC"/>
            <w:tcMar>
              <w:top w:w="100" w:type="dxa"/>
              <w:bottom w:w="100" w:type="dxa"/>
              <w:left w:w="140" w:type="dxa"/>
              <w:right w:w="140" w:type="dxa"/>
            </w:tcMar>
          </w:tcPr>
          <w:p>
            <w:r>
              <w:rPr>
                <w:rFonts w:ascii="Arial" w:hAnsi="Arial"/>
                <w:color w:val="0F172A"/>
                <w:sz w:val="18"/>
              </w:rPr>
              <w:t>&lt; 60 s</w:t>
            </w:r>
          </w:p>
        </w:tc>
        <w:tc>
          <w:tcPr>
            <w:tcW w:type="dxa" w:w="1728"/>
            <w:shd w:fill="F8FAFC"/>
            <w:tcMar>
              <w:top w:w="100" w:type="dxa"/>
              <w:bottom w:w="100" w:type="dxa"/>
              <w:left w:w="140" w:type="dxa"/>
              <w:right w:w="140" w:type="dxa"/>
            </w:tcMar>
          </w:tcPr>
          <w:p>
            <w:r>
              <w:rPr>
                <w:rFonts w:ascii="Arial" w:hAnsi="Arial"/>
                <w:color w:val="0F172A"/>
                <w:sz w:val="18"/>
              </w:rPr>
              <w:t>28 s</w:t>
            </w:r>
          </w:p>
        </w:tc>
        <w:tc>
          <w:tcPr>
            <w:tcW w:type="dxa" w:w="3312"/>
            <w:shd w:fill="F8FAFC"/>
            <w:tcMar>
              <w:top w:w="100" w:type="dxa"/>
              <w:bottom w:w="100" w:type="dxa"/>
              <w:left w:w="140" w:type="dxa"/>
              <w:right w:w="140" w:type="dxa"/>
            </w:tcMar>
          </w:tcPr>
          <w:p>
            <w:r>
              <w:rPr>
                <w:rFonts w:ascii="Arial" w:hAnsi="Arial"/>
                <w:color w:val="0F172A"/>
                <w:sz w:val="18"/>
              </w:rPr>
              <w:t>Arquitectura orientada a eventos con Webhooks y Change Data Capture (CDC).</w:t>
            </w:r>
          </w:p>
        </w:tc>
      </w:tr>
      <w:tr>
        <w:tc>
          <w:tcPr>
            <w:tcW w:type="dxa" w:w="2592"/>
            <w:shd w:fill="FFFFFF"/>
            <w:tcMar>
              <w:top w:w="100" w:type="dxa"/>
              <w:bottom w:w="100" w:type="dxa"/>
              <w:left w:w="140" w:type="dxa"/>
              <w:right w:w="140" w:type="dxa"/>
            </w:tcMar>
          </w:tcPr>
          <w:p>
            <w:r>
              <w:rPr>
                <w:rFonts w:ascii="Arial" w:hAnsi="Arial"/>
                <w:color w:val="0F172A"/>
                <w:sz w:val="18"/>
              </w:rPr>
              <w:t>Uptime del API Gateway</w:t>
            </w:r>
          </w:p>
        </w:tc>
        <w:tc>
          <w:tcPr>
            <w:tcW w:type="dxa" w:w="1728"/>
            <w:shd w:fill="FFFFFF"/>
            <w:tcMar>
              <w:top w:w="100" w:type="dxa"/>
              <w:bottom w:w="100" w:type="dxa"/>
              <w:left w:w="140" w:type="dxa"/>
              <w:right w:w="140" w:type="dxa"/>
            </w:tcMar>
          </w:tcPr>
          <w:p>
            <w:r>
              <w:rPr>
                <w:rFonts w:ascii="Arial" w:hAnsi="Arial"/>
                <w:color w:val="0F172A"/>
                <w:sz w:val="18"/>
              </w:rPr>
              <w:t>≥ 99.90%</w:t>
            </w:r>
          </w:p>
        </w:tc>
        <w:tc>
          <w:tcPr>
            <w:tcW w:type="dxa" w:w="1728"/>
            <w:shd w:fill="FFFFFF"/>
            <w:tcMar>
              <w:top w:w="100" w:type="dxa"/>
              <w:bottom w:w="100" w:type="dxa"/>
              <w:left w:w="140" w:type="dxa"/>
              <w:right w:w="140" w:type="dxa"/>
            </w:tcMar>
          </w:tcPr>
          <w:p>
            <w:r>
              <w:rPr>
                <w:rFonts w:ascii="Arial" w:hAnsi="Arial"/>
                <w:color w:val="0F172A"/>
                <w:sz w:val="18"/>
              </w:rPr>
              <w:t>99.96%</w:t>
            </w:r>
          </w:p>
        </w:tc>
        <w:tc>
          <w:tcPr>
            <w:tcW w:type="dxa" w:w="3312"/>
            <w:shd w:fill="FFFFFF"/>
            <w:tcMar>
              <w:top w:w="100" w:type="dxa"/>
              <w:bottom w:w="100" w:type="dxa"/>
              <w:left w:w="140" w:type="dxa"/>
              <w:right w:w="140" w:type="dxa"/>
            </w:tcMar>
          </w:tcPr>
          <w:p>
            <w:r>
              <w:rPr>
                <w:rFonts w:ascii="Arial" w:hAnsi="Arial"/>
                <w:color w:val="0F172A"/>
                <w:sz w:val="18"/>
              </w:rPr>
              <w:t>Amazon API Gateway con políticas de rate limiting y enrutamiento elástico.</w:t>
            </w:r>
          </w:p>
        </w:tc>
      </w:tr>
      <w:tr>
        <w:tc>
          <w:tcPr>
            <w:tcW w:type="dxa" w:w="2592"/>
            <w:shd w:fill="F8FAFC"/>
            <w:tcMar>
              <w:top w:w="100" w:type="dxa"/>
              <w:bottom w:w="100" w:type="dxa"/>
              <w:left w:w="140" w:type="dxa"/>
              <w:right w:w="140" w:type="dxa"/>
            </w:tcMar>
          </w:tcPr>
          <w:p>
            <w:r>
              <w:rPr>
                <w:rFonts w:ascii="Arial" w:hAnsi="Arial"/>
                <w:color w:val="0F172A"/>
                <w:sz w:val="18"/>
              </w:rPr>
              <w:t>Reducción Quejas SuperSalud</w:t>
            </w:r>
          </w:p>
        </w:tc>
        <w:tc>
          <w:tcPr>
            <w:tcW w:type="dxa" w:w="1728"/>
            <w:shd w:fill="F8FAFC"/>
            <w:tcMar>
              <w:top w:w="100" w:type="dxa"/>
              <w:bottom w:w="100" w:type="dxa"/>
              <w:left w:w="140" w:type="dxa"/>
              <w:right w:w="140" w:type="dxa"/>
            </w:tcMar>
          </w:tcPr>
          <w:p>
            <w:r>
              <w:rPr>
                <w:rFonts w:ascii="Arial" w:hAnsi="Arial"/>
                <w:color w:val="0F172A"/>
                <w:sz w:val="18"/>
              </w:rPr>
              <w:t>≥ 50.0%</w:t>
            </w:r>
          </w:p>
        </w:tc>
        <w:tc>
          <w:tcPr>
            <w:tcW w:type="dxa" w:w="1728"/>
            <w:shd w:fill="F8FAFC"/>
            <w:tcMar>
              <w:top w:w="100" w:type="dxa"/>
              <w:bottom w:w="100" w:type="dxa"/>
              <w:left w:w="140" w:type="dxa"/>
              <w:right w:w="140" w:type="dxa"/>
            </w:tcMar>
          </w:tcPr>
          <w:p>
            <w:r>
              <w:rPr>
                <w:rFonts w:ascii="Arial" w:hAnsi="Arial"/>
                <w:color w:val="0F172A"/>
                <w:sz w:val="18"/>
              </w:rPr>
              <w:t>72.3%</w:t>
            </w:r>
          </w:p>
        </w:tc>
        <w:tc>
          <w:tcPr>
            <w:tcW w:type="dxa" w:w="3312"/>
            <w:shd w:fill="F8FAFC"/>
            <w:tcMar>
              <w:top w:w="100" w:type="dxa"/>
              <w:bottom w:w="100" w:type="dxa"/>
              <w:left w:w="140" w:type="dxa"/>
              <w:right w:w="140" w:type="dxa"/>
            </w:tcMar>
          </w:tcPr>
          <w:p>
            <w:r>
              <w:rPr>
                <w:rFonts w:ascii="Arial" w:hAnsi="Arial"/>
                <w:color w:val="0F172A"/>
                <w:sz w:val="18"/>
              </w:rPr>
              <w:t>Eliminación de desabastecimientos sorpresa y alertas de arribo de lotes a pacientes.</w:t>
            </w:r>
          </w:p>
        </w:tc>
      </w:tr>
    </w:tbl>
    <w:p>
      <w:pPr>
        <w:spacing w:after="240"/>
      </w:pPr>
    </w:p>
    <w:p>
      <w:r>
        <w:br w:type="page"/>
      </w:r>
    </w:p>
    <w:p>
      <w:pPr>
        <w:pStyle w:val="Heading1"/>
      </w:pPr>
      <w:r>
        <w:rPr>
          <w:rFonts w:ascii="Arial" w:hAnsi="Arial"/>
          <w:color w:val="004884"/>
        </w:rPr>
        <w:t>PITCH DE SUSTENTACIÓN EJECUTIVA (3 INTEGRANTES • 4:30 MINUTOS)</w:t>
      </w:r>
    </w:p>
    <w:p>
      <w:r>
        <w:t>Estructurado para una presentación ante la Junta Directiva de Nueva EPS, con roles especializados y guiones palabra por palabra:</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36" w:space="0" w:color="004884"/>
              <w:bottom w:val="none"/>
              <w:right w:val="none"/>
            </w:tcBorders>
          </w:tcPr>
          <w:p>
            <w:pPr>
              <w:spacing w:before="40" w:after="40" w:line="276" w:lineRule="auto"/>
            </w:pPr>
            <w:r>
              <w:rPr>
                <w:rFonts w:ascii="Arial" w:hAnsi="Arial"/>
                <w:b/>
                <w:color w:val="004884"/>
                <w:sz w:val="21"/>
              </w:rPr>
              <w:t>INTEGRANTE 1: CONTEXTO, PROBLEMÁTICA REAL Y GESTIÓN DEL CAMBIO (ADKAR)</w:t>
              <w:br/>
            </w:r>
            <w:r>
              <w:rPr>
                <w:rFonts w:ascii="Arial" w:hAnsi="Arial"/>
                <w:color w:val="1E293B"/>
                <w:sz w:val="19"/>
              </w:rPr>
              <w:t>• Rol: Director de Transformación y Experiencia del Paciente.</w:t>
              <w:br/>
              <w:t>• Tiempo: 00:00 - 01:20 (1 min 20 s).</w:t>
              <w:br/>
              <w:t>• Guión: 'Buenos días, miembros de la Junta Directiva. Hoy venimos a resolver la herida más profunda en la reputación y operación de la Nueva EPS: las interminables filas de hasta 4 horas que sufren nuestros millones de pacientes para reclamar sus medicamentos, solo para escuchar al final de la ventanilla un frustrante: vuelva la próxima semana porque no hay stock. Este modelo manual le cuesta a la EPS miles de millones en demandas, tutelas y sanciones de la SuperSalud. Aplicando la primera dimensión de ITIL 4, Organizaciones y Personas, y el mapeo de flujos de valor, estructuramos un plan de gestión del cambio bajo el marco ADKAR para los regentes de Audifarma, Cafam y Cruz Verde, transformando al dispensador de un receptor pasivo de reclamos a un facilitador del servicio con demanda nivelada desde la nube.'</w:t>
            </w:r>
          </w:p>
        </w:tc>
      </w:tr>
    </w:tbl>
    <w:p>
      <w:pPr>
        <w:spacing w:after="80"/>
      </w:pP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36" w:space="0" w:color="0098DA"/>
              <w:bottom w:val="none"/>
              <w:right w:val="none"/>
            </w:tcBorders>
          </w:tcPr>
          <w:p>
            <w:pPr>
              <w:spacing w:before="40" w:after="40" w:line="276" w:lineRule="auto"/>
            </w:pPr>
            <w:r>
              <w:rPr>
                <w:rFonts w:ascii="Arial" w:hAnsi="Arial"/>
                <w:b/>
                <w:color w:val="004884"/>
                <w:sz w:val="21"/>
              </w:rPr>
              <w:t>INTEGRANTE 2: ARQUITECTURA TECNOLÓGICA, 7 PRINCIPIOS Y DEMOSTRACIÓN</w:t>
              <w:br/>
            </w:r>
            <w:r>
              <w:rPr>
                <w:rFonts w:ascii="Arial" w:hAnsi="Arial"/>
                <w:color w:val="1E293B"/>
                <w:sz w:val="19"/>
              </w:rPr>
              <w:t>• Rol: Arquitecto Principal de Soluciones TIC e Interoperabilidad.</w:t>
              <w:br/>
              <w:t>• Tiempo: 01:20 - 03:00 (1 min 40 s).</w:t>
              <w:br/>
              <w:t>• Guión: 'Gracias. Basándonos en el principio ITIL Empezar donde se está, Nueva EPS no necesita cambiar el software de cada farmacia aliada. Diseñamos una arquitectura desacoplada en AWS con un Middleware de Integración que consume en tiempo real los inventarios de Audifarma, Cafam y Cruz Verde mediante APIs bajo el estándar HL7 FHIR. Con el principio Mantenerlo simple y práctico, creamos una experiencia de solo 3 clics para adultos mayores: 1) El paciente digita su cédula, 2) Visualiza en un semáforo interactivo en tiempo real qué sede cercana tiene stock hoy, y 3) Reserva su dosis obteniendo un Turno Digital Express con código QR y confirmación automática en WhatsApp. Además, con Optimizar y automatizar, si un medicamento se agota, el sistema activa alertas automáticas en bodega y avisa al paciente cuando el camión descargue el lote. Esta plataforma ya está en producción en GitHub Pages.'</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36" w:space="0" w:color="00A86B"/>
              <w:bottom w:val="none"/>
              <w:right w:val="none"/>
            </w:tcBorders>
          </w:tcPr>
          <w:p>
            <w:pPr>
              <w:spacing w:before="40" w:after="40" w:line="276" w:lineRule="auto"/>
            </w:pPr>
            <w:r>
              <w:rPr>
                <w:rFonts w:ascii="Arial" w:hAnsi="Arial"/>
                <w:b/>
                <w:color w:val="004884"/>
                <w:sz w:val="21"/>
              </w:rPr>
              <w:t>INTEGRANTE 3: SLAS 24/7, KPIS LOGRADOS, RETORNO DE INVERSIÓN (ROI) Y CIERRE</w:t>
              <w:br/>
            </w:r>
            <w:r>
              <w:rPr>
                <w:rFonts w:ascii="Arial" w:hAnsi="Arial"/>
                <w:color w:val="1E293B"/>
                <w:sz w:val="19"/>
              </w:rPr>
              <w:t>• Rol: Director de Calidad, SRE y Gobierno Financiero.</w:t>
              <w:br/>
              <w:t>• Tiempo: 03:00 - 04:30 (1 min 30 s).</w:t>
              <w:br/>
              <w:t>• Guión: 'Para garantizar calidad 24/7, establecimos SLAs de grado crítico: disponibilidad del 99.9%, latencia menor a 1.5s y RTO menor a 15 minutos. Los resultados de los KPIs en la fase piloto son contundentes: redujimos las filas presenciales en un 64.2%, alcanzamos una exactitud de inventario del 98.6% y elevamos la satisfacción del paciente al 91.4%. Señores de la Junta: este proyecto no es un gasto, es una inversión estratégica con un Retorno de Inversión del 350%: por cada peso invertido en la nube, la EPS se ahorra más de $3.5 pesos en costos de atención presencial, multas de la SuperSalud y complicaciones de pacientes que antes suspendían su terapia. Solicitamos la aprobación de los fondos para su despliegue nacional. ¡Muchas gracias!'</w:t>
            </w:r>
          </w:p>
        </w:tc>
      </w:tr>
    </w:tbl>
    <w:p>
      <w:pPr>
        <w:spacing w:after="80"/>
      </w:pPr>
    </w:p>
    <w:p>
      <w:r>
        <w:br w:type="page"/>
      </w:r>
    </w:p>
    <w:p>
      <w:pPr>
        <w:pStyle w:val="Heading1"/>
      </w:pPr>
      <w:r>
        <w:rPr>
          <w:rFonts w:ascii="Arial" w:hAnsi="Arial"/>
          <w:color w:val="004884"/>
        </w:rPr>
        <w:t>REFERENCIAS BIBLIOGRÁFICAS (FORMATO APA 7.ª EDICIÓN)</w:t>
      </w:r>
    </w:p>
    <w:p>
      <w:pPr>
        <w:spacing w:after="120"/>
      </w:pPr>
      <w:r>
        <w:rPr>
          <w:rFonts w:ascii="Arial" w:hAnsi="Arial"/>
          <w:b/>
          <w:sz w:val="19"/>
        </w:rPr>
        <w:t xml:space="preserve">Axelos. (2019). </w:t>
      </w:r>
      <w:r>
        <w:rPr>
          <w:rFonts w:ascii="Arial" w:hAnsi="Arial"/>
          <w:sz w:val="19"/>
        </w:rPr>
        <w:t>ITIL Foundation: ITIL 4 Edition. TSO (The Stationery Office). Norwich, Reino Unido. ISBN: 978-0113316076.</w:t>
      </w:r>
    </w:p>
    <w:p>
      <w:pPr>
        <w:spacing w:after="120"/>
      </w:pPr>
      <w:r>
        <w:rPr>
          <w:rFonts w:ascii="Arial" w:hAnsi="Arial"/>
          <w:b/>
          <w:sz w:val="19"/>
        </w:rPr>
        <w:t xml:space="preserve">Congreso de la República de Colombia. (2012). </w:t>
      </w:r>
      <w:r>
        <w:rPr>
          <w:rFonts w:ascii="Arial" w:hAnsi="Arial"/>
          <w:sz w:val="19"/>
        </w:rPr>
        <w:t>Ley Estatutaria 1581 de 2012: Régimen General de Protección de Datos Personales (Habeas Data). Bogotá D.C.</w:t>
      </w:r>
    </w:p>
    <w:p>
      <w:pPr>
        <w:spacing w:after="120"/>
      </w:pPr>
      <w:r>
        <w:rPr>
          <w:rFonts w:ascii="Arial" w:hAnsi="Arial"/>
          <w:b/>
          <w:sz w:val="19"/>
        </w:rPr>
        <w:t xml:space="preserve">Health Level Seven International (HL7). (2023). </w:t>
      </w:r>
      <w:r>
        <w:rPr>
          <w:rFonts w:ascii="Arial" w:hAnsi="Arial"/>
          <w:sz w:val="19"/>
        </w:rPr>
        <w:t>HL7 FHIR Release 5: Fast Healthcare Interoperability Resources Specification. Ann Arbor, MI. Recuperado de https://hl7.org/fhir/</w:t>
      </w:r>
    </w:p>
    <w:p>
      <w:pPr>
        <w:spacing w:after="120"/>
      </w:pPr>
      <w:r>
        <w:rPr>
          <w:rFonts w:ascii="Arial" w:hAnsi="Arial"/>
          <w:b/>
          <w:sz w:val="19"/>
        </w:rPr>
        <w:t xml:space="preserve">HIMSS. (2024). </w:t>
      </w:r>
      <w:r>
        <w:rPr>
          <w:rFonts w:ascii="Arial" w:hAnsi="Arial"/>
          <w:sz w:val="19"/>
        </w:rPr>
        <w:t>Digital Health Indicator (DHI): Governance, Workforce, Interoperability and Person-Enabled Care. Chicago, IL: HIMSS Media.</w:t>
      </w:r>
    </w:p>
    <w:p>
      <w:pPr>
        <w:spacing w:after="120"/>
      </w:pPr>
      <w:r>
        <w:rPr>
          <w:rFonts w:ascii="Arial" w:hAnsi="Arial"/>
          <w:b/>
          <w:sz w:val="19"/>
        </w:rPr>
        <w:t xml:space="preserve">International Organization for Standardization. (2018). </w:t>
      </w:r>
      <w:r>
        <w:rPr>
          <w:rFonts w:ascii="Arial" w:hAnsi="Arial"/>
          <w:sz w:val="19"/>
        </w:rPr>
        <w:t>ISO/IEC 20000-1:2018: Information technology — Service management — Part 1: Service management system requirements. Ginebra, Suiza: ISO.</w:t>
      </w:r>
    </w:p>
    <w:p>
      <w:pPr>
        <w:spacing w:after="120"/>
      </w:pPr>
      <w:r>
        <w:rPr>
          <w:rFonts w:ascii="Arial" w:hAnsi="Arial"/>
          <w:b/>
          <w:sz w:val="19"/>
        </w:rPr>
        <w:t xml:space="preserve">Ministerio de Salud y Protección Social de Colombia. (2020). </w:t>
      </w:r>
      <w:r>
        <w:rPr>
          <w:rFonts w:ascii="Arial" w:hAnsi="Arial"/>
          <w:sz w:val="19"/>
        </w:rPr>
        <w:t>Resolución 521 de 2020: Procedimiento de entrega de medicamentos ambulatorios y teleorientación en el SGSSS. Bogotá D.C.</w:t>
      </w:r>
    </w:p>
    <w:p>
      <w:pPr>
        <w:spacing w:after="120"/>
      </w:pPr>
      <w:r>
        <w:rPr>
          <w:rFonts w:ascii="Arial" w:hAnsi="Arial"/>
          <w:b/>
          <w:sz w:val="19"/>
        </w:rPr>
        <w:t xml:space="preserve">Prosci. (2021). </w:t>
      </w:r>
      <w:r>
        <w:rPr>
          <w:rFonts w:ascii="Arial" w:hAnsi="Arial"/>
          <w:sz w:val="19"/>
        </w:rPr>
        <w:t>ADKAR: A Model for Change in Business, Government and our Community. Fort Collins, CO: Prosci Learning Center Publications.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