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40"/>
        <w:jc w:val="center"/>
      </w:pPr>
      <w:r>
        <w:rPr>
          <w:rFonts w:ascii="Calibri" w:hAnsi="Calibri" w:eastAsia="Calibri"/>
          <w:b/>
          <w:color w:val="B37A00"/>
          <w:sz w:val="21"/>
        </w:rPr>
        <w:t>PROYECTO PR01 DE CIBERSEGURIDAD</w:t>
      </w:r>
    </w:p>
    <w:p>
      <w:pPr>
        <w:spacing w:after="160"/>
        <w:jc w:val="center"/>
      </w:pPr>
      <w:r>
        <w:rPr>
          <w:rFonts w:ascii="Calibri" w:hAnsi="Calibri" w:eastAsia="Calibri"/>
          <w:b/>
          <w:color w:val="0B2545"/>
          <w:sz w:val="58"/>
        </w:rPr>
        <w:t>DE LA TEORÍA A LA PRÁCTICA</w:t>
      </w:r>
    </w:p>
    <w:p>
      <w:pPr>
        <w:spacing w:after="120"/>
        <w:jc w:val="center"/>
      </w:pPr>
      <w:r>
        <w:rPr>
          <w:rFonts w:ascii="Calibri" w:hAnsi="Calibri" w:eastAsia="Calibri"/>
          <w:b/>
          <w:color w:val="2E74B5"/>
          <w:sz w:val="34"/>
        </w:rPr>
        <w:t>Walkthrough en acción de digitalworld.local SNAKEOIL</w:t>
      </w:r>
    </w:p>
    <w:p>
      <w:pPr>
        <w:spacing w:after="800"/>
        <w:jc w:val="center"/>
      </w:pPr>
      <w:r>
        <w:rPr>
          <w:rFonts w:ascii="Calibri" w:hAnsi="Calibri" w:eastAsia="Calibri"/>
          <w:i/>
          <w:color w:val="59636E"/>
          <w:sz w:val="23"/>
        </w:rPr>
        <w:t>Reporte técnico de avance y evidencia audiovisual</w:t>
      </w:r>
    </w:p>
    <w:tbl>
      <w:tblPr>
        <w:tblStyle w:val="TableGrid"/>
        <w:tblW w:type="dxa" w:w="9360"/>
        <w:jc w:val="left"/>
        <w:tblLayout w:type="fixed"/>
        <w:tblLook w:firstColumn="1" w:firstRow="1" w:lastColumn="0" w:lastRow="0" w:noHBand="0" w:noVBand="1" w:val="04A0"/>
        <w:tblInd w:w="120" w:type="dxa"/>
      </w:tblPr>
      <w:tblGrid>
        <w:gridCol w:w="2520"/>
        <w:gridCol w:w="6840"/>
      </w:tblGrid>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Universidad</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Universidad Politécnica de San Luis Potosí</w:t>
            </w:r>
          </w:p>
        </w:tc>
      </w:tr>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Programa</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Ingeniería en Tecnologías de la Información</w:t>
            </w:r>
          </w:p>
        </w:tc>
      </w:tr>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Asignatura</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Seguridad Informática CNO IV</w:t>
            </w:r>
          </w:p>
        </w:tc>
      </w:tr>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Alumno</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Juan Francisco Ortega Jiménez</w:t>
            </w:r>
          </w:p>
        </w:tc>
      </w:tr>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Profesor</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Servando López Contreras</w:t>
            </w:r>
          </w:p>
        </w:tc>
      </w:tr>
      <w:tr>
        <w:tc>
          <w:tcPr>
            <w:tcW w:type="dxa" w:w="2520"/>
            <w:shd w:fill="E8EEF5"/>
            <w:tcMar>
              <w:top w:w="80" w:type="dxa"/>
              <w:start w:w="120" w:type="dxa"/>
              <w:bottom w:w="80" w:type="dxa"/>
              <w:end w:w="120" w:type="dxa"/>
            </w:tcMar>
            <w:vAlign w:val="center"/>
          </w:tcPr>
          <w:p>
            <w:pPr>
              <w:spacing w:after="0"/>
            </w:pPr>
            <w:r>
              <w:rPr>
                <w:rFonts w:ascii="Calibri" w:hAnsi="Calibri" w:eastAsia="Calibri"/>
                <w:b/>
                <w:color w:val="0B2545"/>
                <w:sz w:val="20"/>
              </w:rPr>
              <w:t>Fecha y estado</w:t>
            </w:r>
          </w:p>
        </w:tc>
        <w:tc>
          <w:tcPr>
            <w:tcW w:type="dxa" w:w="6840"/>
            <w:tcMar>
              <w:top w:w="80" w:type="dxa"/>
              <w:start w:w="120" w:type="dxa"/>
              <w:bottom w:w="80" w:type="dxa"/>
              <w:end w:w="120" w:type="dxa"/>
            </w:tcMar>
            <w:vAlign w:val="center"/>
          </w:tcPr>
          <w:p>
            <w:pPr>
              <w:spacing w:after="0"/>
            </w:pPr>
            <w:r>
              <w:rPr>
                <w:rFonts w:ascii="Calibri" w:hAnsi="Calibri" w:eastAsia="Calibri"/>
                <w:color w:val="000000"/>
                <w:sz w:val="20"/>
              </w:rPr>
              <w:t>8 de septiembre de 2026 | Avance: análisis y validación en proceso</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D"/>
          </w:tcPr>
          <w:p>
            <w:pPr>
              <w:spacing w:after="0"/>
            </w:pPr>
            <w:r>
              <w:rPr>
                <w:rFonts w:ascii="Calibri" w:hAnsi="Calibri" w:eastAsia="Calibri"/>
                <w:b/>
                <w:color w:val="2E6B45"/>
                <w:sz w:val="21"/>
              </w:rPr>
              <w:t xml:space="preserve">Alcance autorizado: </w:t>
            </w:r>
            <w:r>
              <w:rPr>
                <w:rFonts w:ascii="Calibri" w:hAnsi="Calibri" w:eastAsia="Calibri"/>
                <w:color w:val="0B2545"/>
                <w:sz w:val="21"/>
              </w:rPr>
              <w:t>Todas las pruebas documentadas se realizan exclusivamente contra la máquina vulnerable Snakeoil dentro de una red virtual solo-anfitrión, aislada de Internet y de la red doméstica.</w:t>
            </w:r>
          </w:p>
        </w:tc>
      </w:tr>
    </w:tbl>
    <w:p>
      <w:pPr>
        <w:spacing w:after="40"/>
      </w:pPr>
    </w:p>
    <w:p>
      <w:r>
        <w:br w:type="page"/>
      </w:r>
    </w:p>
    <w:p>
      <w:pPr>
        <w:pStyle w:val="Heading1"/>
      </w:pPr>
      <w:r>
        <w:t>Resumen ejecutivo</w:t>
      </w:r>
    </w:p>
    <w:p>
      <w:r>
        <w:rPr>
          <w:rFonts w:ascii="Calibri" w:hAnsi="Calibri" w:eastAsia="Calibri"/>
          <w:i w:val="0"/>
          <w:color w:val="000000"/>
          <w:sz w:val="22"/>
        </w:rPr>
        <w:t>Este documento registra la preparación y las primeras fases de un ejercicio de evaluación de seguridad sobre la máquina virtual deliberadamente vulnerable digitalworld.local: Snakeoil. El entorno fue configurado en Oracle VirtualBox con una red solo-anfitrión; Kali Linux se emplea como estación de análisis y Snakeoil como único sistema objetivo autorizado.</w:t>
      </w:r>
    </w:p>
    <w:p>
      <w:r>
        <w:rPr>
          <w:rFonts w:ascii="Calibri" w:hAnsi="Calibri" w:eastAsia="Calibri"/>
          <w:i w:val="0"/>
          <w:color w:val="000000"/>
          <w:sz w:val="22"/>
        </w:rPr>
        <w:t>Hasta el momento se completaron la identificación de direcciones IP, el descubrimiento del host objetivo, el escaneo de los 65,535 puertos TCP, la identificación de servicios y la enumeración inicial de la aplicación web. La fase de análisis y validación ya se encuentra en proceso: se inspeccionaron de forma no destructiva varias rutas y sus métodos HTTP. No se ha ejecutado ninguna explotación, acceso inicial ni escalamiento de privilegios.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Calibri"/>
                <w:b/>
                <w:color w:val="2E74B5"/>
                <w:sz w:val="21"/>
              </w:rPr>
              <w:t xml:space="preserve">Resultado actual: </w:t>
            </w:r>
            <w:r>
              <w:rPr>
                <w:rFonts w:ascii="Calibri" w:hAnsi="Calibri" w:eastAsia="Calibri"/>
                <w:color w:val="0B2545"/>
                <w:sz w:val="21"/>
              </w:rPr>
              <w:t>Snakeoil fue identificada en 192.168.56.103, con los puertos 22, 80 y 8080 abiertos. En el puerto 8080, /users respondió sin autenticación con el usuario patrick y un hash PBKDF2-SHA256; además, /login y /run declararon POST y OPTIONS como métodos permitidos. El impacto definitivo aún requiere validación controlada.</w:t>
            </w:r>
          </w:p>
        </w:tc>
      </w:tr>
    </w:tbl>
    <w:p>
      <w:pPr>
        <w:spacing w:after="40"/>
      </w:pPr>
    </w:p>
    <w:p>
      <w:pPr>
        <w:pStyle w:val="Heading2"/>
      </w:pPr>
      <w:r>
        <w:t>Estado de las doce fases</w:t>
      </w:r>
    </w:p>
    <w:tbl>
      <w:tblPr>
        <w:tblStyle w:val="TableGrid"/>
        <w:tblW w:type="dxa" w:w="9360"/>
        <w:jc w:val="left"/>
        <w:tblLayout w:type="fixed"/>
        <w:tblLook w:firstColumn="1" w:firstRow="1" w:lastColumn="0" w:lastRow="0" w:noHBand="0" w:noVBand="1" w:val="04A0"/>
        <w:tblInd w:w="120" w:type="dxa"/>
      </w:tblPr>
      <w:tblGrid>
        <w:gridCol w:w="800"/>
        <w:gridCol w:w="6260"/>
        <w:gridCol w:w="2300"/>
      </w:tblGrid>
      <w:tr>
        <w:trPr>
          <w:tblHeader w:val="true"/>
        </w:trPr>
        <w:tc>
          <w:tcPr>
            <w:tcW w:type="dxa" w:w="800"/>
            <w:shd w:fill="F2F4F7"/>
            <w:tcMar>
              <w:top w:w="80" w:type="dxa"/>
              <w:start w:w="120" w:type="dxa"/>
              <w:bottom w:w="80" w:type="dxa"/>
              <w:end w:w="120" w:type="dxa"/>
            </w:tcMar>
            <w:vAlign w:val="center"/>
          </w:tcPr>
          <w:p>
            <w:pPr>
              <w:jc w:val="center"/>
            </w:pPr>
            <w:r>
              <w:rPr>
                <w:rFonts w:ascii="Calibri" w:hAnsi="Calibri" w:eastAsia="Calibri"/>
                <w:b/>
                <w:color w:val="0B2545"/>
                <w:sz w:val="19"/>
              </w:rPr>
              <w:t>Fase</w:t>
            </w:r>
          </w:p>
        </w:tc>
        <w:tc>
          <w:tcPr>
            <w:tcW w:type="dxa" w:w="6260"/>
            <w:shd w:fill="F2F4F7"/>
            <w:tcMar>
              <w:top w:w="80" w:type="dxa"/>
              <w:start w:w="120" w:type="dxa"/>
              <w:bottom w:w="80" w:type="dxa"/>
              <w:end w:w="120" w:type="dxa"/>
            </w:tcMar>
            <w:vAlign w:val="center"/>
          </w:tcPr>
          <w:p>
            <w:pPr>
              <w:jc w:val="center"/>
            </w:pPr>
            <w:r>
              <w:rPr>
                <w:rFonts w:ascii="Calibri" w:hAnsi="Calibri" w:eastAsia="Calibri"/>
                <w:b/>
                <w:color w:val="0B2545"/>
                <w:sz w:val="19"/>
              </w:rPr>
              <w:t>Actividad</w:t>
            </w:r>
          </w:p>
        </w:tc>
        <w:tc>
          <w:tcPr>
            <w:tcW w:type="dxa" w:w="2300"/>
            <w:shd w:fill="F2F4F7"/>
            <w:tcMar>
              <w:top w:w="80" w:type="dxa"/>
              <w:start w:w="120" w:type="dxa"/>
              <w:bottom w:w="80" w:type="dxa"/>
              <w:end w:w="120" w:type="dxa"/>
            </w:tcMar>
            <w:vAlign w:val="center"/>
          </w:tcPr>
          <w:p>
            <w:pPr>
              <w:jc w:val="center"/>
            </w:pPr>
            <w:r>
              <w:rPr>
                <w:rFonts w:ascii="Calibri" w:hAnsi="Calibri" w:eastAsia="Calibri"/>
                <w:b/>
                <w:color w:val="0B2545"/>
                <w:sz w:val="19"/>
              </w:rPr>
              <w:t>Estado</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1</w:t>
            </w:r>
          </w:p>
        </w:tc>
        <w:tc>
          <w:tcPr>
            <w:tcW w:type="dxa" w:w="6260"/>
            <w:tcMar>
              <w:top w:w="80" w:type="dxa"/>
              <w:start w:w="120" w:type="dxa"/>
              <w:bottom w:w="80" w:type="dxa"/>
              <w:end w:w="120" w:type="dxa"/>
            </w:tcMar>
            <w:vAlign w:val="center"/>
          </w:tcPr>
          <w:p>
            <w:r>
              <w:rPr>
                <w:rFonts w:ascii="Calibri" w:hAnsi="Calibri" w:eastAsia="Calibri"/>
                <w:color w:val="000000"/>
                <w:sz w:val="19"/>
              </w:rPr>
              <w:t>Configuración del laboratorio</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2</w:t>
            </w:r>
          </w:p>
        </w:tc>
        <w:tc>
          <w:tcPr>
            <w:tcW w:type="dxa" w:w="6260"/>
            <w:tcMar>
              <w:top w:w="80" w:type="dxa"/>
              <w:start w:w="120" w:type="dxa"/>
              <w:bottom w:w="80" w:type="dxa"/>
              <w:end w:w="120" w:type="dxa"/>
            </w:tcMar>
            <w:vAlign w:val="center"/>
          </w:tcPr>
          <w:p>
            <w:r>
              <w:rPr>
                <w:rFonts w:ascii="Calibri" w:hAnsi="Calibri" w:eastAsia="Calibri"/>
                <w:color w:val="000000"/>
                <w:sz w:val="19"/>
              </w:rPr>
              <w:t>Inicio y validación de las máquinas</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3</w:t>
            </w:r>
          </w:p>
        </w:tc>
        <w:tc>
          <w:tcPr>
            <w:tcW w:type="dxa" w:w="6260"/>
            <w:tcMar>
              <w:top w:w="80" w:type="dxa"/>
              <w:start w:w="120" w:type="dxa"/>
              <w:bottom w:w="80" w:type="dxa"/>
              <w:end w:w="120" w:type="dxa"/>
            </w:tcMar>
            <w:vAlign w:val="center"/>
          </w:tcPr>
          <w:p>
            <w:r>
              <w:rPr>
                <w:rFonts w:ascii="Calibri" w:hAnsi="Calibri" w:eastAsia="Calibri"/>
                <w:color w:val="000000"/>
                <w:sz w:val="19"/>
              </w:rPr>
              <w:t>Identificación de la estación Kali</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4</w:t>
            </w:r>
          </w:p>
        </w:tc>
        <w:tc>
          <w:tcPr>
            <w:tcW w:type="dxa" w:w="6260"/>
            <w:tcMar>
              <w:top w:w="80" w:type="dxa"/>
              <w:start w:w="120" w:type="dxa"/>
              <w:bottom w:w="80" w:type="dxa"/>
              <w:end w:w="120" w:type="dxa"/>
            </w:tcMar>
            <w:vAlign w:val="center"/>
          </w:tcPr>
          <w:p>
            <w:r>
              <w:rPr>
                <w:rFonts w:ascii="Calibri" w:hAnsi="Calibri" w:eastAsia="Calibri"/>
                <w:color w:val="000000"/>
                <w:sz w:val="19"/>
              </w:rPr>
              <w:t>Descubrimiento del objetivo</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5</w:t>
            </w:r>
          </w:p>
        </w:tc>
        <w:tc>
          <w:tcPr>
            <w:tcW w:type="dxa" w:w="6260"/>
            <w:tcMar>
              <w:top w:w="80" w:type="dxa"/>
              <w:start w:w="120" w:type="dxa"/>
              <w:bottom w:w="80" w:type="dxa"/>
              <w:end w:w="120" w:type="dxa"/>
            </w:tcMar>
            <w:vAlign w:val="center"/>
          </w:tcPr>
          <w:p>
            <w:r>
              <w:rPr>
                <w:rFonts w:ascii="Calibri" w:hAnsi="Calibri" w:eastAsia="Calibri"/>
                <w:color w:val="000000"/>
                <w:sz w:val="19"/>
              </w:rPr>
              <w:t>Escaneo de puertos y servicios</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6</w:t>
            </w:r>
          </w:p>
        </w:tc>
        <w:tc>
          <w:tcPr>
            <w:tcW w:type="dxa" w:w="6260"/>
            <w:tcMar>
              <w:top w:w="80" w:type="dxa"/>
              <w:start w:w="120" w:type="dxa"/>
              <w:bottom w:w="80" w:type="dxa"/>
              <w:end w:w="120" w:type="dxa"/>
            </w:tcMar>
            <w:vAlign w:val="center"/>
          </w:tcPr>
          <w:p>
            <w:r>
              <w:rPr>
                <w:rFonts w:ascii="Calibri" w:hAnsi="Calibri" w:eastAsia="Calibri"/>
                <w:color w:val="000000"/>
                <w:sz w:val="19"/>
              </w:rPr>
              <w:t>Reconocimiento de aplicaciones web</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7</w:t>
            </w:r>
          </w:p>
        </w:tc>
        <w:tc>
          <w:tcPr>
            <w:tcW w:type="dxa" w:w="6260"/>
            <w:tcMar>
              <w:top w:w="80" w:type="dxa"/>
              <w:start w:w="120" w:type="dxa"/>
              <w:bottom w:w="80" w:type="dxa"/>
              <w:end w:w="120" w:type="dxa"/>
            </w:tcMar>
            <w:vAlign w:val="center"/>
          </w:tcPr>
          <w:p>
            <w:r>
              <w:rPr>
                <w:rFonts w:ascii="Calibri" w:hAnsi="Calibri" w:eastAsia="Calibri"/>
                <w:color w:val="000000"/>
                <w:sz w:val="19"/>
              </w:rPr>
              <w:t>Enumeración manual de rutas y pistas</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8</w:t>
            </w:r>
          </w:p>
        </w:tc>
        <w:tc>
          <w:tcPr>
            <w:tcW w:type="dxa" w:w="6260"/>
            <w:tcMar>
              <w:top w:w="80" w:type="dxa"/>
              <w:start w:w="120" w:type="dxa"/>
              <w:bottom w:w="80" w:type="dxa"/>
              <w:end w:w="120" w:type="dxa"/>
            </w:tcMar>
            <w:vAlign w:val="center"/>
          </w:tcPr>
          <w:p>
            <w:r>
              <w:rPr>
                <w:rFonts w:ascii="Calibri" w:hAnsi="Calibri" w:eastAsia="Calibri"/>
                <w:color w:val="000000"/>
                <w:sz w:val="19"/>
              </w:rPr>
              <w:t>Enumeración automática de contenido</w:t>
            </w:r>
          </w:p>
        </w:tc>
        <w:tc>
          <w:tcPr>
            <w:tcW w:type="dxa" w:w="2300"/>
            <w:shd w:fill="EAF5ED"/>
            <w:tcMar>
              <w:top w:w="80" w:type="dxa"/>
              <w:start w:w="120" w:type="dxa"/>
              <w:bottom w:w="80" w:type="dxa"/>
              <w:end w:w="120" w:type="dxa"/>
            </w:tcMar>
            <w:vAlign w:val="center"/>
          </w:tcPr>
          <w:p>
            <w:pPr>
              <w:spacing w:after="0"/>
              <w:jc w:val="center"/>
            </w:pPr>
            <w:r>
              <w:rPr>
                <w:rFonts w:ascii="Calibri" w:hAnsi="Calibri" w:eastAsia="Calibri"/>
                <w:b/>
                <w:color w:val="2E6B45"/>
                <w:sz w:val="19"/>
              </w:rPr>
              <w:t>COMPLETADA</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9</w:t>
            </w:r>
          </w:p>
        </w:tc>
        <w:tc>
          <w:tcPr>
            <w:tcW w:type="dxa" w:w="6260"/>
            <w:tcMar>
              <w:top w:w="80" w:type="dxa"/>
              <w:start w:w="120" w:type="dxa"/>
              <w:bottom w:w="80" w:type="dxa"/>
              <w:end w:w="120" w:type="dxa"/>
            </w:tcMar>
            <w:vAlign w:val="center"/>
          </w:tcPr>
          <w:p>
            <w:r>
              <w:rPr>
                <w:rFonts w:ascii="Calibri" w:hAnsi="Calibri" w:eastAsia="Calibri"/>
                <w:color w:val="000000"/>
                <w:sz w:val="19"/>
              </w:rPr>
              <w:t>Análisis y validación de vulnerabilidades</w:t>
            </w:r>
          </w:p>
        </w:tc>
        <w:tc>
          <w:tcPr>
            <w:tcW w:type="dxa" w:w="2300"/>
            <w:shd w:fill="FFF4CC"/>
            <w:tcMar>
              <w:top w:w="80" w:type="dxa"/>
              <w:start w:w="120" w:type="dxa"/>
              <w:bottom w:w="80" w:type="dxa"/>
              <w:end w:w="120" w:type="dxa"/>
            </w:tcMar>
            <w:vAlign w:val="center"/>
          </w:tcPr>
          <w:p>
            <w:pPr>
              <w:spacing w:after="0"/>
              <w:jc w:val="center"/>
            </w:pPr>
            <w:r>
              <w:rPr>
                <w:rFonts w:ascii="Calibri" w:hAnsi="Calibri" w:eastAsia="Calibri"/>
                <w:b/>
                <w:color w:val="B37A00"/>
                <w:sz w:val="19"/>
              </w:rPr>
              <w:t>EN PROCESO</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10</w:t>
            </w:r>
          </w:p>
        </w:tc>
        <w:tc>
          <w:tcPr>
            <w:tcW w:type="dxa" w:w="6260"/>
            <w:tcMar>
              <w:top w:w="80" w:type="dxa"/>
              <w:start w:w="120" w:type="dxa"/>
              <w:bottom w:w="80" w:type="dxa"/>
              <w:end w:w="120" w:type="dxa"/>
            </w:tcMar>
            <w:vAlign w:val="center"/>
          </w:tcPr>
          <w:p>
            <w:r>
              <w:rPr>
                <w:rFonts w:ascii="Calibri" w:hAnsi="Calibri" w:eastAsia="Calibri"/>
                <w:color w:val="000000"/>
                <w:sz w:val="19"/>
              </w:rPr>
              <w:t>Explotación controlada y acceso inicial</w:t>
            </w:r>
          </w:p>
        </w:tc>
        <w:tc>
          <w:tcPr>
            <w:tcW w:type="dxa" w:w="2300"/>
            <w:shd w:fill="FFF4CC"/>
            <w:tcMar>
              <w:top w:w="80" w:type="dxa"/>
              <w:start w:w="120" w:type="dxa"/>
              <w:bottom w:w="80" w:type="dxa"/>
              <w:end w:w="120" w:type="dxa"/>
            </w:tcMar>
            <w:vAlign w:val="center"/>
          </w:tcPr>
          <w:p>
            <w:pPr>
              <w:spacing w:after="0"/>
              <w:jc w:val="center"/>
            </w:pPr>
            <w:r>
              <w:rPr>
                <w:rFonts w:ascii="Calibri" w:hAnsi="Calibri" w:eastAsia="Calibri"/>
                <w:b/>
                <w:color w:val="B37A00"/>
                <w:sz w:val="19"/>
              </w:rPr>
              <w:t>PENDIENTE</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11</w:t>
            </w:r>
          </w:p>
        </w:tc>
        <w:tc>
          <w:tcPr>
            <w:tcW w:type="dxa" w:w="6260"/>
            <w:tcMar>
              <w:top w:w="80" w:type="dxa"/>
              <w:start w:w="120" w:type="dxa"/>
              <w:bottom w:w="80" w:type="dxa"/>
              <w:end w:w="120" w:type="dxa"/>
            </w:tcMar>
            <w:vAlign w:val="center"/>
          </w:tcPr>
          <w:p>
            <w:r>
              <w:rPr>
                <w:rFonts w:ascii="Calibri" w:hAnsi="Calibri" w:eastAsia="Calibri"/>
                <w:color w:val="000000"/>
                <w:sz w:val="19"/>
              </w:rPr>
              <w:t>Post-explotación y escalamiento</w:t>
            </w:r>
          </w:p>
        </w:tc>
        <w:tc>
          <w:tcPr>
            <w:tcW w:type="dxa" w:w="2300"/>
            <w:shd w:fill="FFF4CC"/>
            <w:tcMar>
              <w:top w:w="80" w:type="dxa"/>
              <w:start w:w="120" w:type="dxa"/>
              <w:bottom w:w="80" w:type="dxa"/>
              <w:end w:w="120" w:type="dxa"/>
            </w:tcMar>
            <w:vAlign w:val="center"/>
          </w:tcPr>
          <w:p>
            <w:pPr>
              <w:spacing w:after="0"/>
              <w:jc w:val="center"/>
            </w:pPr>
            <w:r>
              <w:rPr>
                <w:rFonts w:ascii="Calibri" w:hAnsi="Calibri" w:eastAsia="Calibri"/>
                <w:b/>
                <w:color w:val="B37A00"/>
                <w:sz w:val="19"/>
              </w:rPr>
              <w:t>PENDIENTE</w:t>
            </w:r>
          </w:p>
        </w:tc>
      </w:tr>
      <w:tr>
        <w:tc>
          <w:tcPr>
            <w:tcW w:type="dxa" w:w="800"/>
            <w:tcMar>
              <w:top w:w="80" w:type="dxa"/>
              <w:start w:w="120" w:type="dxa"/>
              <w:bottom w:w="80" w:type="dxa"/>
              <w:end w:w="120" w:type="dxa"/>
            </w:tcMar>
            <w:vAlign w:val="center"/>
          </w:tcPr>
          <w:p>
            <w:pPr>
              <w:jc w:val="center"/>
            </w:pPr>
            <w:r>
              <w:rPr>
                <w:rFonts w:ascii="Calibri" w:hAnsi="Calibri" w:eastAsia="Calibri"/>
                <w:b/>
                <w:color w:val="000000"/>
                <w:sz w:val="19"/>
              </w:rPr>
              <w:t>12</w:t>
            </w:r>
          </w:p>
        </w:tc>
        <w:tc>
          <w:tcPr>
            <w:tcW w:type="dxa" w:w="6260"/>
            <w:tcMar>
              <w:top w:w="80" w:type="dxa"/>
              <w:start w:w="120" w:type="dxa"/>
              <w:bottom w:w="80" w:type="dxa"/>
              <w:end w:w="120" w:type="dxa"/>
            </w:tcMar>
            <w:vAlign w:val="center"/>
          </w:tcPr>
          <w:p>
            <w:r>
              <w:rPr>
                <w:rFonts w:ascii="Calibri" w:hAnsi="Calibri" w:eastAsia="Calibri"/>
                <w:color w:val="000000"/>
                <w:sz w:val="19"/>
              </w:rPr>
              <w:t>Explicación integral, riesgos y mitigación</w:t>
            </w:r>
          </w:p>
        </w:tc>
        <w:tc>
          <w:tcPr>
            <w:tcW w:type="dxa" w:w="2300"/>
            <w:shd w:fill="FFF4CC"/>
            <w:tcMar>
              <w:top w:w="80" w:type="dxa"/>
              <w:start w:w="120" w:type="dxa"/>
              <w:bottom w:w="80" w:type="dxa"/>
              <w:end w:w="120" w:type="dxa"/>
            </w:tcMar>
            <w:vAlign w:val="center"/>
          </w:tcPr>
          <w:p>
            <w:pPr>
              <w:spacing w:after="0"/>
              <w:jc w:val="center"/>
            </w:pPr>
            <w:r>
              <w:rPr>
                <w:rFonts w:ascii="Calibri" w:hAnsi="Calibri" w:eastAsia="Calibri"/>
                <w:b/>
                <w:color w:val="B37A00"/>
                <w:sz w:val="19"/>
              </w:rPr>
              <w:t>PENDIENTE</w:t>
            </w:r>
          </w:p>
        </w:tc>
      </w:tr>
    </w:tbl>
    <w:p>
      <w:pPr>
        <w:pStyle w:val="Heading1"/>
      </w:pPr>
      <w:r>
        <w:t>Objetivo y metodología</w:t>
      </w:r>
    </w:p>
    <w:p>
      <w:pPr>
        <w:pStyle w:val="Heading2"/>
      </w:pPr>
      <w:r>
        <w:t>Objetivo general</w:t>
      </w:r>
    </w:p>
    <w:p>
      <w:r>
        <w:rPr>
          <w:rFonts w:ascii="Calibri" w:hAnsi="Calibri" w:eastAsia="Calibri"/>
          <w:i w:val="0"/>
          <w:color w:val="000000"/>
          <w:sz w:val="22"/>
        </w:rPr>
        <w:t>Demostrar la capacidad de aplicar conocimientos teóricos de seguridad informática en un entorno práctico, mediante la realización de un walkthrough detallado y la explicación de las técnicas y metodologías utilizadas para evaluar y vulnerar de forma controlada una máquina virtual deliberadamente insegura.</w:t>
      </w:r>
    </w:p>
    <w:p>
      <w:pPr>
        <w:pStyle w:val="Heading2"/>
      </w:pPr>
      <w:r>
        <w:t>Objetivos específicos</w:t>
      </w:r>
    </w:p>
    <w:p>
      <w:pPr>
        <w:numPr>
          <w:ilvl w:val="0"/>
          <w:numId w:val="10"/>
        </w:numPr>
        <w:spacing w:after="160" w:line="280" w:lineRule="auto"/>
      </w:pPr>
      <w:r>
        <w:rPr>
          <w:rFonts w:ascii="Calibri" w:hAnsi="Calibri" w:eastAsia="Calibri"/>
          <w:color w:val="000000"/>
          <w:sz w:val="22"/>
        </w:rPr>
        <w:t>Configurar un entorno de virtualización aislado para efectuar pruebas de penetración de forma segura.</w:t>
      </w:r>
    </w:p>
    <w:p>
      <w:pPr>
        <w:numPr>
          <w:ilvl w:val="0"/>
          <w:numId w:val="10"/>
        </w:numPr>
        <w:spacing w:after="160" w:line="280" w:lineRule="auto"/>
      </w:pPr>
      <w:r>
        <w:rPr>
          <w:rFonts w:ascii="Calibri" w:hAnsi="Calibri" w:eastAsia="Calibri"/>
          <w:color w:val="000000"/>
          <w:sz w:val="22"/>
        </w:rPr>
        <w:t>Descubrir el sistema objetivo y utilizar técnicas de escaneo para identificar puertos y servicios expuestos.</w:t>
      </w:r>
    </w:p>
    <w:p>
      <w:pPr>
        <w:numPr>
          <w:ilvl w:val="0"/>
          <w:numId w:val="10"/>
        </w:numPr>
        <w:spacing w:after="160" w:line="280" w:lineRule="auto"/>
      </w:pPr>
      <w:r>
        <w:rPr>
          <w:rFonts w:ascii="Calibri" w:hAnsi="Calibri" w:eastAsia="Calibri"/>
          <w:color w:val="000000"/>
          <w:sz w:val="22"/>
        </w:rPr>
        <w:t>Enumerar servicios, aplicaciones y recursos para obtener información técnica del objetivo.</w:t>
      </w:r>
    </w:p>
    <w:p>
      <w:pPr>
        <w:numPr>
          <w:ilvl w:val="0"/>
          <w:numId w:val="10"/>
        </w:numPr>
        <w:spacing w:after="160" w:line="280" w:lineRule="auto"/>
      </w:pPr>
      <w:r>
        <w:rPr>
          <w:rFonts w:ascii="Calibri" w:hAnsi="Calibri" w:eastAsia="Calibri"/>
          <w:color w:val="000000"/>
          <w:sz w:val="22"/>
        </w:rPr>
        <w:t>Investigar vulnerabilidades asociadas con los componentes identificados y evaluar su viabilidad.</w:t>
      </w:r>
    </w:p>
    <w:p>
      <w:pPr>
        <w:numPr>
          <w:ilvl w:val="0"/>
          <w:numId w:val="10"/>
        </w:numPr>
        <w:spacing w:after="160" w:line="280" w:lineRule="auto"/>
      </w:pPr>
      <w:r>
        <w:rPr>
          <w:rFonts w:ascii="Calibri" w:hAnsi="Calibri" w:eastAsia="Calibri"/>
          <w:color w:val="000000"/>
          <w:sz w:val="22"/>
        </w:rPr>
        <w:t>Seleccionar y adaptar pruebas de concepto únicamente dentro del laboratorio autorizado.</w:t>
      </w:r>
    </w:p>
    <w:p>
      <w:pPr>
        <w:numPr>
          <w:ilvl w:val="0"/>
          <w:numId w:val="10"/>
        </w:numPr>
        <w:spacing w:after="160" w:line="280" w:lineRule="auto"/>
      </w:pPr>
      <w:r>
        <w:rPr>
          <w:rFonts w:ascii="Calibri" w:hAnsi="Calibri" w:eastAsia="Calibri"/>
          <w:color w:val="000000"/>
          <w:sz w:val="22"/>
        </w:rPr>
        <w:t>Obtener acceso controlado al sistema, documentar la post-explotación y evaluar una posible escalada de privilegios.</w:t>
      </w:r>
    </w:p>
    <w:p>
      <w:pPr>
        <w:numPr>
          <w:ilvl w:val="0"/>
          <w:numId w:val="10"/>
        </w:numPr>
        <w:spacing w:after="160" w:line="280" w:lineRule="auto"/>
      </w:pPr>
      <w:r>
        <w:rPr>
          <w:rFonts w:ascii="Calibri" w:hAnsi="Calibri" w:eastAsia="Calibri"/>
          <w:color w:val="000000"/>
          <w:sz w:val="22"/>
        </w:rPr>
        <w:t>Registrar comandos, resultados y capturas de pantalla, explicando cada técnica de forma clara y concisa.</w:t>
      </w:r>
    </w:p>
    <w:p>
      <w:pPr>
        <w:numPr>
          <w:ilvl w:val="0"/>
          <w:numId w:val="10"/>
        </w:numPr>
        <w:spacing w:after="160" w:line="280" w:lineRule="auto"/>
      </w:pPr>
      <w:r>
        <w:rPr>
          <w:rFonts w:ascii="Calibri" w:hAnsi="Calibri" w:eastAsia="Calibri"/>
          <w:color w:val="000000"/>
          <w:sz w:val="22"/>
        </w:rPr>
        <w:t>Preparar un informe reproducible y un video que muestre el proceso completo del walkthrough.</w:t>
      </w:r>
    </w:p>
    <w:p>
      <w:r>
        <w:br w:type="page"/>
      </w:r>
    </w:p>
    <w:p>
      <w:pPr>
        <w:keepNext/>
        <w:spacing w:before="60" w:after="0"/>
        <w:jc w:val="center"/>
      </w:pPr>
      <w:r>
        <w:drawing>
          <wp:inline xmlns:a="http://schemas.openxmlformats.org/drawingml/2006/main" xmlns:pic="http://schemas.openxmlformats.org/drawingml/2006/picture">
            <wp:extent cx="5806440" cy="3054615"/>
            <wp:docPr id="1" name="Picture 1" descr="Captura del planteamiento oficial del proyecto de walkthrough de ciberseguridad."/>
            <wp:cNvGraphicFramePr>
              <a:graphicFrameLocks noChangeAspect="1"/>
            </wp:cNvGraphicFramePr>
            <a:graphic>
              <a:graphicData uri="http://schemas.openxmlformats.org/drawingml/2006/picture">
                <pic:pic>
                  <pic:nvPicPr>
                    <pic:cNvPr id="0" name="403db880-357a-44b8-8992-2874562a4f3e.png"/>
                    <pic:cNvPicPr/>
                  </pic:nvPicPr>
                  <pic:blipFill>
                    <a:blip r:embed="rId11"/>
                    <a:stretch>
                      <a:fillRect/>
                    </a:stretch>
                  </pic:blipFill>
                  <pic:spPr>
                    <a:xfrm>
                      <a:off x="0" y="0"/>
                      <a:ext cx="5806440" cy="3054615"/>
                    </a:xfrm>
                    <a:prstGeom prst="rect"/>
                  </pic:spPr>
                </pic:pic>
              </a:graphicData>
            </a:graphic>
          </wp:inline>
        </w:drawing>
      </w:r>
    </w:p>
    <w:p>
      <w:pPr>
        <w:pStyle w:val="Caption"/>
        <w:jc w:val="center"/>
      </w:pPr>
      <w:r>
        <w:t>Figura 1. Planteamiento, objetivos y alcance proporcionados para el proyecto académico.</w:t>
      </w:r>
    </w:p>
    <w:p>
      <w:pPr>
        <w:pStyle w:val="Heading2"/>
      </w:pPr>
      <w:r>
        <w:t>Metodología de trabajo</w:t>
      </w:r>
    </w:p>
    <w:p>
      <w:pPr>
        <w:numPr>
          <w:ilvl w:val="0"/>
          <w:numId w:val="11"/>
        </w:numPr>
        <w:spacing w:after="160" w:line="280" w:lineRule="auto"/>
      </w:pPr>
      <w:r>
        <w:rPr>
          <w:rFonts w:ascii="Calibri" w:hAnsi="Calibri" w:eastAsia="Calibri"/>
          <w:color w:val="000000"/>
          <w:sz w:val="22"/>
        </w:rPr>
        <w:t>Preparación y aislamiento del entorno virtual.</w:t>
      </w:r>
    </w:p>
    <w:p>
      <w:pPr>
        <w:numPr>
          <w:ilvl w:val="0"/>
          <w:numId w:val="11"/>
        </w:numPr>
        <w:spacing w:after="160" w:line="280" w:lineRule="auto"/>
      </w:pPr>
      <w:r>
        <w:rPr>
          <w:rFonts w:ascii="Calibri" w:hAnsi="Calibri" w:eastAsia="Calibri"/>
          <w:color w:val="000000"/>
          <w:sz w:val="22"/>
        </w:rPr>
        <w:t>Reconocimiento de red y descubrimiento del objetivo.</w:t>
      </w:r>
    </w:p>
    <w:p>
      <w:pPr>
        <w:numPr>
          <w:ilvl w:val="0"/>
          <w:numId w:val="11"/>
        </w:numPr>
        <w:spacing w:after="160" w:line="280" w:lineRule="auto"/>
      </w:pPr>
      <w:r>
        <w:rPr>
          <w:rFonts w:ascii="Calibri" w:hAnsi="Calibri" w:eastAsia="Calibri"/>
          <w:color w:val="000000"/>
          <w:sz w:val="22"/>
        </w:rPr>
        <w:t>Escaneo de puertos, identificación de versiones y enumeración web.</w:t>
      </w:r>
    </w:p>
    <w:p>
      <w:pPr>
        <w:numPr>
          <w:ilvl w:val="0"/>
          <w:numId w:val="11"/>
        </w:numPr>
        <w:spacing w:after="160" w:line="280" w:lineRule="auto"/>
      </w:pPr>
      <w:r>
        <w:rPr>
          <w:rFonts w:ascii="Calibri" w:hAnsi="Calibri" w:eastAsia="Calibri"/>
          <w:color w:val="000000"/>
          <w:sz w:val="22"/>
        </w:rPr>
        <w:t>Análisis de vulnerabilidades y comprobación controlada de hipótesis.</w:t>
      </w:r>
    </w:p>
    <w:p>
      <w:pPr>
        <w:numPr>
          <w:ilvl w:val="0"/>
          <w:numId w:val="11"/>
        </w:numPr>
        <w:spacing w:after="160" w:line="280" w:lineRule="auto"/>
      </w:pPr>
      <w:r>
        <w:rPr>
          <w:rFonts w:ascii="Calibri" w:hAnsi="Calibri" w:eastAsia="Calibri"/>
          <w:color w:val="000000"/>
          <w:sz w:val="22"/>
        </w:rPr>
        <w:t>Explotación autorizada, post-explotación y escalamiento de privilegios.</w:t>
      </w:r>
    </w:p>
    <w:p>
      <w:pPr>
        <w:numPr>
          <w:ilvl w:val="0"/>
          <w:numId w:val="11"/>
        </w:numPr>
        <w:spacing w:after="160" w:line="280" w:lineRule="auto"/>
      </w:pPr>
      <w:r>
        <w:rPr>
          <w:rFonts w:ascii="Calibri" w:hAnsi="Calibri" w:eastAsia="Calibri"/>
          <w:color w:val="000000"/>
          <w:sz w:val="22"/>
        </w:rPr>
        <w:t>Evaluación del riesgo, propuesta de mitigaciones y documentación final.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Calibri"/>
                <w:b/>
                <w:color w:val="2E74B5"/>
                <w:sz w:val="21"/>
              </w:rPr>
              <w:t xml:space="preserve">Criterio de evidencia: </w:t>
            </w:r>
            <w:r>
              <w:rPr>
                <w:rFonts w:ascii="Calibri" w:hAnsi="Calibri" w:eastAsia="Calibri"/>
                <w:color w:val="0B2545"/>
                <w:sz w:val="21"/>
              </w:rPr>
              <w:t>Cada fase conserva una captura legible, el comando o acción realizada, el resultado observado y una interpretación técnica. Las fases aún no ejecutadas permanecen identificadas como pendientes.</w:t>
            </w:r>
          </w:p>
        </w:tc>
      </w:tr>
    </w:tbl>
    <w:p>
      <w:pPr>
        <w:spacing w:after="40"/>
      </w:pPr>
    </w:p>
    <w:p>
      <w:r>
        <w:br w:type="page"/>
      </w:r>
    </w:p>
    <w:p>
      <w:pPr>
        <w:pStyle w:val="Heading1"/>
      </w:pPr>
      <w:r>
        <w:t>1. Configuración del laboratorio</w:t>
      </w:r>
    </w:p>
    <w:p>
      <w:r>
        <w:rPr>
          <w:rFonts w:ascii="Calibri" w:hAnsi="Calibri" w:eastAsia="Calibri"/>
          <w:i w:val="0"/>
          <w:color w:val="000000"/>
          <w:sz w:val="22"/>
        </w:rPr>
        <w:t>La máquina Snakeoil se distribuye como un dispositivo virtual compuesto por un descriptor OVF, un manifiesto MF y un disco VMDK. El archivo OVF fue utilizado para importar la máquina en VirtualBox, manteniendo juntos los tres componentes.</w:t>
      </w:r>
    </w:p>
    <w:p>
      <w:pPr>
        <w:keepNext/>
        <w:spacing w:before="60" w:after="0"/>
        <w:jc w:val="center"/>
      </w:pPr>
      <w:r>
        <w:drawing>
          <wp:inline xmlns:a="http://schemas.openxmlformats.org/drawingml/2006/main" xmlns:pic="http://schemas.openxmlformats.org/drawingml/2006/picture">
            <wp:extent cx="4572000" cy="2295728"/>
            <wp:docPr id="2" name="Picture 2" descr="Archivos SNAKEOIL.mf, SNAKEOIL.ovf y SNAKEOIL-disk1.vmdk tras la extracción."/>
            <wp:cNvGraphicFramePr>
              <a:graphicFrameLocks noChangeAspect="1"/>
            </wp:cNvGraphicFramePr>
            <a:graphic>
              <a:graphicData uri="http://schemas.openxmlformats.org/drawingml/2006/picture">
                <pic:pic>
                  <pic:nvPicPr>
                    <pic:cNvPr id="0" name="8b09f8d3-f422-4674-8d04-09254382a07d.png"/>
                    <pic:cNvPicPr/>
                  </pic:nvPicPr>
                  <pic:blipFill>
                    <a:blip r:embed="rId12"/>
                    <a:stretch>
                      <a:fillRect/>
                    </a:stretch>
                  </pic:blipFill>
                  <pic:spPr>
                    <a:xfrm>
                      <a:off x="0" y="0"/>
                      <a:ext cx="4572000" cy="2295728"/>
                    </a:xfrm>
                    <a:prstGeom prst="rect"/>
                  </pic:spPr>
                </pic:pic>
              </a:graphicData>
            </a:graphic>
          </wp:inline>
        </w:drawing>
      </w:r>
    </w:p>
    <w:p>
      <w:pPr>
        <w:pStyle w:val="Caption"/>
        <w:jc w:val="center"/>
      </w:pPr>
      <w:r>
        <w:t>Figura 2. Archivos extraídos del paquete SNAKEOIL: manifiesto, descriptor OVF y disco VMDK.</w:t>
      </w:r>
    </w:p>
    <w:p>
      <w:pPr>
        <w:pStyle w:val="Heading2"/>
      </w:pPr>
      <w:r>
        <w:t>1.1 Aislamiento de red</w:t>
      </w:r>
    </w:p>
    <w:p>
      <w:r>
        <w:rPr>
          <w:rFonts w:ascii="Calibri" w:hAnsi="Calibri" w:eastAsia="Calibri"/>
          <w:i w:val="0"/>
          <w:color w:val="000000"/>
          <w:sz w:val="22"/>
        </w:rPr>
        <w:t>Se configuró el adaptador principal de ambas máquinas con el modo Adaptador solo anfitrión y la interfaz VirtualBox Host-Only Ethernet Adapter. Esta topología permite la comunicación directa entre Kali y Snakeoil sin publicar la máquina vulnerable en la red física. El modo promiscuo permaneció denegado y el cable virtual conectado.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D"/>
          </w:tcPr>
          <w:p>
            <w:pPr>
              <w:spacing w:after="0"/>
            </w:pPr>
            <w:r>
              <w:rPr>
                <w:rFonts w:ascii="Calibri" w:hAnsi="Calibri" w:eastAsia="Calibri"/>
                <w:b/>
                <w:color w:val="2E6B45"/>
                <w:sz w:val="21"/>
              </w:rPr>
              <w:t xml:space="preserve">Control de seguridad: </w:t>
            </w:r>
            <w:r>
              <w:rPr>
                <w:rFonts w:ascii="Calibri" w:hAnsi="Calibri" w:eastAsia="Calibri"/>
                <w:color w:val="0B2545"/>
                <w:sz w:val="21"/>
              </w:rPr>
              <w:t>Snakeoil no utiliza adaptador puente ni NAT. Los adaptadores adicionales deben permanecer desactivados durante la práctica.</w:t>
            </w:r>
          </w:p>
        </w:tc>
      </w:tr>
    </w:tbl>
    <w:p>
      <w:pPr>
        <w:spacing w:after="40"/>
      </w:pPr>
    </w:p>
    <w:p>
      <w:r>
        <w:br w:type="page"/>
      </w:r>
    </w:p>
    <w:p>
      <w:pPr>
        <w:keepNext/>
        <w:spacing w:before="60" w:after="0"/>
        <w:jc w:val="center"/>
      </w:pPr>
      <w:r>
        <w:drawing>
          <wp:inline xmlns:a="http://schemas.openxmlformats.org/drawingml/2006/main" xmlns:pic="http://schemas.openxmlformats.org/drawingml/2006/picture">
            <wp:extent cx="5577840" cy="2554338"/>
            <wp:docPr id="3" name="Picture 3" descr="Configuración del Adaptador 1 de Snakeoil en modo solo-anfitrión."/>
            <wp:cNvGraphicFramePr>
              <a:graphicFrameLocks noChangeAspect="1"/>
            </wp:cNvGraphicFramePr>
            <a:graphic>
              <a:graphicData uri="http://schemas.openxmlformats.org/drawingml/2006/picture">
                <pic:pic>
                  <pic:nvPicPr>
                    <pic:cNvPr id="0" name="b28efe85-c71b-4724-b430-b89a641bf641.png"/>
                    <pic:cNvPicPr/>
                  </pic:nvPicPr>
                  <pic:blipFill>
                    <a:blip r:embed="rId13"/>
                    <a:stretch>
                      <a:fillRect/>
                    </a:stretch>
                  </pic:blipFill>
                  <pic:spPr>
                    <a:xfrm>
                      <a:off x="0" y="0"/>
                      <a:ext cx="5577840" cy="2554338"/>
                    </a:xfrm>
                    <a:prstGeom prst="rect"/>
                  </pic:spPr>
                </pic:pic>
              </a:graphicData>
            </a:graphic>
          </wp:inline>
        </w:drawing>
      </w:r>
    </w:p>
    <w:p>
      <w:pPr>
        <w:pStyle w:val="Caption"/>
        <w:jc w:val="center"/>
      </w:pPr>
      <w:r>
        <w:t>Figura 3. Configuración de red solo-anfitrión de la máquina objetivo Snakeoil.</w:t>
      </w:r>
    </w:p>
    <w:p>
      <w:pPr>
        <w:keepNext/>
        <w:spacing w:before="60" w:after="0"/>
        <w:jc w:val="center"/>
      </w:pPr>
      <w:r>
        <w:drawing>
          <wp:inline xmlns:a="http://schemas.openxmlformats.org/drawingml/2006/main" xmlns:pic="http://schemas.openxmlformats.org/drawingml/2006/picture">
            <wp:extent cx="5158596" cy="2971800"/>
            <wp:docPr id="4" name="Picture 4" descr="Configuración del Adaptador 1 de Kali Linux en la misma red solo-anfitrión."/>
            <wp:cNvGraphicFramePr>
              <a:graphicFrameLocks noChangeAspect="1"/>
            </wp:cNvGraphicFramePr>
            <a:graphic>
              <a:graphicData uri="http://schemas.openxmlformats.org/drawingml/2006/picture">
                <pic:pic>
                  <pic:nvPicPr>
                    <pic:cNvPr id="0" name="ea913247-0401-4050-8f04-6c57f968319e.png"/>
                    <pic:cNvPicPr/>
                  </pic:nvPicPr>
                  <pic:blipFill>
                    <a:blip r:embed="rId14"/>
                    <a:stretch>
                      <a:fillRect/>
                    </a:stretch>
                  </pic:blipFill>
                  <pic:spPr>
                    <a:xfrm>
                      <a:off x="0" y="0"/>
                      <a:ext cx="5158596" cy="2971800"/>
                    </a:xfrm>
                    <a:prstGeom prst="rect"/>
                  </pic:spPr>
                </pic:pic>
              </a:graphicData>
            </a:graphic>
          </wp:inline>
        </w:drawing>
      </w:r>
    </w:p>
    <w:p>
      <w:pPr>
        <w:pStyle w:val="Caption"/>
        <w:jc w:val="center"/>
      </w:pPr>
      <w:r>
        <w:t>Figura 4. Configuración equivalente de red solo-anfitrión en Kali Linux.</w:t>
      </w:r>
    </w:p>
    <w:p>
      <w:r>
        <w:rPr>
          <w:rFonts w:ascii="Calibri" w:hAnsi="Calibri" w:eastAsia="Calibri"/>
          <w:i w:val="0"/>
          <w:color w:val="000000"/>
          <w:sz w:val="22"/>
        </w:rPr>
        <w:t>Interpretación: ambas interfaces están conectadas al mismo segmento virtual y pueden intercambiar tráfico local. Esta captura demuestra el límite técnico del alcance de las pruebas.</w:t>
      </w:r>
    </w:p>
    <w:p>
      <w:r>
        <w:br w:type="page"/>
      </w:r>
    </w:p>
    <w:p>
      <w:pPr>
        <w:pStyle w:val="Heading1"/>
      </w:pPr>
      <w:r>
        <w:t>2. Inicio y validación de las máquinas</w:t>
      </w:r>
    </w:p>
    <w:p>
      <w:r>
        <w:rPr>
          <w:rFonts w:ascii="Calibri" w:hAnsi="Calibri" w:eastAsia="Calibri"/>
          <w:i w:val="0"/>
          <w:color w:val="000000"/>
          <w:sz w:val="22"/>
        </w:rPr>
        <w:t>Snakeoil inició correctamente sobre Debian 10 y mostró la cuenta local patrick en la pantalla de autenticación. No se intentó iniciar sesión desde la consola, ya que el acceso debe obtenerse como resultado del ejercicio y no mediante credenciales predeterminadas.</w:t>
      </w:r>
    </w:p>
    <w:p>
      <w:pPr>
        <w:keepNext/>
        <w:spacing w:before="60" w:after="0"/>
        <w:jc w:val="center"/>
      </w:pPr>
      <w:r>
        <w:drawing>
          <wp:inline xmlns:a="http://schemas.openxmlformats.org/drawingml/2006/main" xmlns:pic="http://schemas.openxmlformats.org/drawingml/2006/picture">
            <wp:extent cx="5715000" cy="3213385"/>
            <wp:docPr id="5" name="Picture 5" descr="Pantalla de inicio de sesión de Debian 10 en la máquina Snakeoil con el usuario patrick."/>
            <wp:cNvGraphicFramePr>
              <a:graphicFrameLocks noChangeAspect="1"/>
            </wp:cNvGraphicFramePr>
            <a:graphic>
              <a:graphicData uri="http://schemas.openxmlformats.org/drawingml/2006/picture">
                <pic:pic>
                  <pic:nvPicPr>
                    <pic:cNvPr id="0" name="0f547423-2108-491f-9d6b-1e8d03264992.png"/>
                    <pic:cNvPicPr/>
                  </pic:nvPicPr>
                  <pic:blipFill>
                    <a:blip r:embed="rId15"/>
                    <a:stretch>
                      <a:fillRect/>
                    </a:stretch>
                  </pic:blipFill>
                  <pic:spPr>
                    <a:xfrm>
                      <a:off x="0" y="0"/>
                      <a:ext cx="5715000" cy="3213385"/>
                    </a:xfrm>
                    <a:prstGeom prst="rect"/>
                  </pic:spPr>
                </pic:pic>
              </a:graphicData>
            </a:graphic>
          </wp:inline>
        </w:drawing>
      </w:r>
    </w:p>
    <w:p>
      <w:pPr>
        <w:pStyle w:val="Caption"/>
        <w:jc w:val="center"/>
      </w:pPr>
      <w:r>
        <w:t>Figura 5. Inicio correcto de Snakeoil y cuenta local visible patrick.</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Calibri"/>
                <w:b/>
                <w:color w:val="2E74B5"/>
                <w:sz w:val="21"/>
              </w:rPr>
              <w:t xml:space="preserve">Hallazgo preliminar: </w:t>
            </w:r>
            <w:r>
              <w:rPr>
                <w:rFonts w:ascii="Calibri" w:hAnsi="Calibri" w:eastAsia="Calibri"/>
                <w:color w:val="0B2545"/>
                <w:sz w:val="21"/>
              </w:rPr>
              <w:t>El nombre patrick constituye información de enumeración. Más adelante podrá correlacionarse con servicios, publicaciones y mecanismos de autenticación, sin asumir todavía que permita acceso.</w:t>
            </w:r>
          </w:p>
        </w:tc>
      </w:tr>
    </w:tbl>
    <w:p>
      <w:pPr>
        <w:spacing w:after="40"/>
      </w:pPr>
    </w:p>
    <w:p>
      <w:r>
        <w:br w:type="page"/>
      </w:r>
    </w:p>
    <w:p>
      <w:pPr>
        <w:pStyle w:val="Heading1"/>
      </w:pPr>
      <w:r>
        <w:t>3. Identificación de la estación Kali</w:t>
      </w:r>
    </w:p>
    <w:p>
      <w:r>
        <w:rPr>
          <w:rFonts w:ascii="Calibri" w:hAnsi="Calibri" w:eastAsia="Calibri"/>
          <w:i w:val="0"/>
          <w:color w:val="000000"/>
          <w:sz w:val="22"/>
        </w:rPr>
        <w:t>En la terminal de Kali se ejecutó el siguiente comando para consultar de forma resumida sus interfaces y direcciones:</w:t>
      </w:r>
    </w:p>
    <w:p>
      <w:pPr>
        <w:pStyle w:val="CodeBlock"/>
        <w:shd w:fill="E8EEF5"/>
      </w:pPr>
      <w:r>
        <w:rPr>
          <w:rFonts w:ascii="Consolas" w:hAnsi="Consolas" w:eastAsia="Consolas"/>
          <w:color w:val="0B2545"/>
          <w:sz w:val="18"/>
        </w:rPr>
        <w:t>ip -br addr</w:t>
      </w:r>
    </w:p>
    <w:p>
      <w:pPr>
        <w:keepNext/>
        <w:spacing w:before="60" w:after="0"/>
        <w:jc w:val="center"/>
      </w:pPr>
      <w:r>
        <w:drawing>
          <wp:inline xmlns:a="http://schemas.openxmlformats.org/drawingml/2006/main" xmlns:pic="http://schemas.openxmlformats.org/drawingml/2006/picture">
            <wp:extent cx="5715000" cy="3213385"/>
            <wp:docPr id="6" name="Picture 6" descr="Salida del comando ip -br addr mostrando a Kali en 192.168.56.104/24."/>
            <wp:cNvGraphicFramePr>
              <a:graphicFrameLocks noChangeAspect="1"/>
            </wp:cNvGraphicFramePr>
            <a:graphic>
              <a:graphicData uri="http://schemas.openxmlformats.org/drawingml/2006/picture">
                <pic:pic>
                  <pic:nvPicPr>
                    <pic:cNvPr id="0" name="Captura de pantalla 2026-09-06 214228.png"/>
                    <pic:cNvPicPr/>
                  </pic:nvPicPr>
                  <pic:blipFill>
                    <a:blip r:embed="rId16"/>
                    <a:stretch>
                      <a:fillRect/>
                    </a:stretch>
                  </pic:blipFill>
                  <pic:spPr>
                    <a:xfrm>
                      <a:off x="0" y="0"/>
                      <a:ext cx="5715000" cy="3213385"/>
                    </a:xfrm>
                    <a:prstGeom prst="rect"/>
                  </pic:spPr>
                </pic:pic>
              </a:graphicData>
            </a:graphic>
          </wp:inline>
        </w:drawing>
      </w:r>
    </w:p>
    <w:p>
      <w:pPr>
        <w:pStyle w:val="Caption"/>
        <w:jc w:val="center"/>
      </w:pPr>
      <w:r>
        <w:t>Figura 6. Dirección IPv4 asignada a Kali en la interfaz eth0.</w:t>
      </w:r>
    </w:p>
    <w:p>
      <w:r>
        <w:rPr>
          <w:rFonts w:ascii="Calibri" w:hAnsi="Calibri" w:eastAsia="Calibri"/>
          <w:i w:val="0"/>
          <w:color w:val="000000"/>
          <w:sz w:val="22"/>
        </w:rPr>
        <w:t>Resultado: la interfaz eth0 se encontraba activa con la dirección 192.168.56.104/24. Por tanto, el segmento del laboratorio corresponde a 192.168.56.0/24.</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eastAsia="Calibri"/>
                <w:b/>
                <w:color w:val="2E74B5"/>
                <w:sz w:val="21"/>
              </w:rPr>
              <w:t xml:space="preserve">Inicio sugerido del video: </w:t>
            </w:r>
            <w:r>
              <w:rPr>
                <w:rFonts w:ascii="Calibri" w:hAnsi="Calibri" w:eastAsia="Calibri"/>
                <w:color w:val="0B2545"/>
                <w:sz w:val="21"/>
              </w:rPr>
              <w:t>La grabación principal puede comenzar en esta fase, mostrando brevemente la configuración aislada antes de ejecutar el primer comando de reconocimiento.</w:t>
            </w:r>
          </w:p>
        </w:tc>
      </w:tr>
    </w:tbl>
    <w:p>
      <w:pPr>
        <w:spacing w:after="40"/>
      </w:pPr>
    </w:p>
    <w:p>
      <w:r>
        <w:br w:type="page"/>
      </w:r>
    </w:p>
    <w:p>
      <w:pPr>
        <w:pStyle w:val="Heading1"/>
      </w:pPr>
      <w:r>
        <w:t>4. Descubrimiento del objetivo</w:t>
      </w:r>
    </w:p>
    <w:p>
      <w:r>
        <w:rPr>
          <w:rFonts w:ascii="Calibri" w:hAnsi="Calibri" w:eastAsia="Calibri"/>
          <w:i w:val="0"/>
          <w:color w:val="000000"/>
          <w:sz w:val="22"/>
        </w:rPr>
        <w:t>Se realizó un barrido de descubrimiento sin escaneo de puertos sobre el segmento local:</w:t>
      </w:r>
    </w:p>
    <w:p>
      <w:pPr>
        <w:pStyle w:val="CodeBlock"/>
        <w:shd w:fill="E8EEF5"/>
      </w:pPr>
      <w:r>
        <w:rPr>
          <w:rFonts w:ascii="Consolas" w:hAnsi="Consolas" w:eastAsia="Consolas"/>
          <w:color w:val="0B2545"/>
          <w:sz w:val="18"/>
        </w:rPr>
        <w:t>sudo nmap -sn 192.168.56.0/24</w:t>
      </w:r>
    </w:p>
    <w:p>
      <w:pPr>
        <w:keepNext/>
        <w:spacing w:before="60" w:after="0"/>
        <w:jc w:val="center"/>
      </w:pPr>
      <w:r>
        <w:drawing>
          <wp:inline xmlns:a="http://schemas.openxmlformats.org/drawingml/2006/main" xmlns:pic="http://schemas.openxmlformats.org/drawingml/2006/picture">
            <wp:extent cx="5715000" cy="3213385"/>
            <wp:docPr id="7" name="Picture 7" descr="Resultado de nmap -sn identificando a Snakeoil en 192.168.56.103."/>
            <wp:cNvGraphicFramePr>
              <a:graphicFrameLocks noChangeAspect="1"/>
            </wp:cNvGraphicFramePr>
            <a:graphic>
              <a:graphicData uri="http://schemas.openxmlformats.org/drawingml/2006/picture">
                <pic:pic>
                  <pic:nvPicPr>
                    <pic:cNvPr id="0" name="Captura de pantalla 2026-09-06 214549.png"/>
                    <pic:cNvPicPr/>
                  </pic:nvPicPr>
                  <pic:blipFill>
                    <a:blip r:embed="rId17"/>
                    <a:stretch>
                      <a:fillRect/>
                    </a:stretch>
                  </pic:blipFill>
                  <pic:spPr>
                    <a:xfrm>
                      <a:off x="0" y="0"/>
                      <a:ext cx="5715000" cy="3213385"/>
                    </a:xfrm>
                    <a:prstGeom prst="rect"/>
                  </pic:spPr>
                </pic:pic>
              </a:graphicData>
            </a:graphic>
          </wp:inline>
        </w:drawing>
      </w:r>
    </w:p>
    <w:p>
      <w:pPr>
        <w:pStyle w:val="Caption"/>
        <w:jc w:val="center"/>
      </w:pPr>
      <w:r>
        <w:t>Figura 7. Descubrimiento de hosts activos mediante Nmap.</w:t>
      </w:r>
    </w:p>
    <w:p>
      <w:r>
        <w:rPr>
          <w:rFonts w:ascii="Calibri" w:hAnsi="Calibri" w:eastAsia="Calibri"/>
          <w:i w:val="0"/>
          <w:color w:val="000000"/>
          <w:sz w:val="22"/>
        </w:rPr>
        <w:t>Nmap detectó cuatro direcciones activas. La dirección 192.168.56.103 se asoció con Snakeoil porque su dirección MAC 08:00:27:FD:15:A2 coincide con la registrada en VirtualBox. Kali corresponde a 192.168.56.104.</w:t>
      </w:r>
    </w:p>
    <w:tbl>
      <w:tblPr>
        <w:tblStyle w:val="TableGrid"/>
        <w:tblW w:type="dxa" w:w="9360"/>
        <w:tblLayout w:type="fixed"/>
        <w:tblLook w:firstColumn="1" w:firstRow="1" w:lastColumn="0" w:lastRow="0" w:noHBand="0" w:noVBand="1" w:val="04A0"/>
        <w:jc w:val="left"/>
        <w:tblInd w:w="120" w:type="dxa"/>
      </w:tblPr>
      <w:tblGrid>
        <w:gridCol w:w="2200"/>
        <w:gridCol w:w="2100"/>
        <w:gridCol w:w="5060"/>
      </w:tblGrid>
      <w:tr>
        <w:trPr>
          <w:tblHeader w:val="true"/>
        </w:trPr>
        <w:tc>
          <w:tcPr>
            <w:tcW w:type="dxa" w:w="2200"/>
            <w:tcMar>
              <w:top w:w="80" w:type="dxa"/>
              <w:start w:w="120" w:type="dxa"/>
              <w:bottom w:w="80" w:type="dxa"/>
              <w:end w:w="120" w:type="dxa"/>
            </w:tcMar>
            <w:vAlign w:val="center"/>
            <w:shd w:fill="F2F4F7"/>
          </w:tcPr>
          <w:p>
            <w:pPr>
              <w:spacing w:after="0"/>
              <w:jc w:val="center"/>
            </w:pPr>
            <w:r>
              <w:rPr>
                <w:rFonts w:ascii="Calibri" w:hAnsi="Calibri" w:eastAsia="Calibri"/>
                <w:b/>
                <w:color w:val="0B2545"/>
                <w:sz w:val="19"/>
              </w:rPr>
              <w:t>Elemento</w:t>
            </w:r>
          </w:p>
        </w:tc>
        <w:tc>
          <w:tcPr>
            <w:tcW w:type="dxa" w:w="2100"/>
            <w:tcMar>
              <w:top w:w="80" w:type="dxa"/>
              <w:start w:w="120" w:type="dxa"/>
              <w:bottom w:w="80" w:type="dxa"/>
              <w:end w:w="120" w:type="dxa"/>
            </w:tcMar>
            <w:vAlign w:val="center"/>
            <w:shd w:fill="F2F4F7"/>
          </w:tcPr>
          <w:p>
            <w:pPr>
              <w:spacing w:after="0"/>
              <w:jc w:val="center"/>
            </w:pPr>
            <w:r>
              <w:rPr>
                <w:rFonts w:ascii="Calibri" w:hAnsi="Calibri" w:eastAsia="Calibri"/>
                <w:b/>
                <w:color w:val="0B2545"/>
                <w:sz w:val="19"/>
              </w:rPr>
              <w:t>Dirección IP</w:t>
            </w:r>
          </w:p>
        </w:tc>
        <w:tc>
          <w:tcPr>
            <w:tcW w:type="dxa" w:w="5060"/>
            <w:tcMar>
              <w:top w:w="80" w:type="dxa"/>
              <w:start w:w="120" w:type="dxa"/>
              <w:bottom w:w="80" w:type="dxa"/>
              <w:end w:w="120" w:type="dxa"/>
            </w:tcMar>
            <w:vAlign w:val="center"/>
            <w:shd w:fill="F2F4F7"/>
          </w:tcPr>
          <w:p>
            <w:pPr>
              <w:spacing w:after="0"/>
              <w:jc w:val="center"/>
            </w:pPr>
            <w:r>
              <w:rPr>
                <w:rFonts w:ascii="Calibri" w:hAnsi="Calibri" w:eastAsia="Calibri"/>
                <w:b/>
                <w:color w:val="0B2545"/>
                <w:sz w:val="19"/>
              </w:rPr>
              <w:t>Dirección MAC / función</w:t>
            </w:r>
          </w:p>
        </w:tc>
      </w:tr>
      <w:tr>
        <w:tc>
          <w:tcPr>
            <w:tcW w:type="dxa" w:w="2200"/>
            <w:tcMar>
              <w:top w:w="80" w:type="dxa"/>
              <w:start w:w="120" w:type="dxa"/>
              <w:bottom w:w="80" w:type="dxa"/>
              <w:end w:w="120" w:type="dxa"/>
            </w:tcMar>
            <w:vAlign w:val="center"/>
          </w:tcPr>
          <w:p>
            <w:pPr>
              <w:spacing w:after="0"/>
              <w:jc w:val="center"/>
            </w:pPr>
            <w:r>
              <w:rPr>
                <w:rFonts w:ascii="Calibri" w:hAnsi="Calibri" w:eastAsia="Calibri"/>
                <w:color w:val="000000"/>
                <w:sz w:val="19"/>
              </w:rPr>
              <w:t>Host de VirtualBox</w:t>
            </w:r>
          </w:p>
        </w:tc>
        <w:tc>
          <w:tcPr>
            <w:tcW w:type="dxa" w:w="2100"/>
            <w:tcMar>
              <w:top w:w="80" w:type="dxa"/>
              <w:start w:w="120" w:type="dxa"/>
              <w:bottom w:w="80" w:type="dxa"/>
              <w:end w:w="120" w:type="dxa"/>
            </w:tcMar>
            <w:vAlign w:val="center"/>
          </w:tcPr>
          <w:p>
            <w:pPr>
              <w:spacing w:after="0"/>
              <w:jc w:val="center"/>
            </w:pPr>
            <w:r>
              <w:rPr>
                <w:rFonts w:ascii="Calibri" w:hAnsi="Calibri" w:eastAsia="Calibri"/>
                <w:color w:val="000000"/>
                <w:sz w:val="19"/>
              </w:rPr>
              <w:t>192.168.56.1</w:t>
            </w:r>
          </w:p>
        </w:tc>
        <w:tc>
          <w:tcPr>
            <w:tcW w:type="dxa" w:w="5060"/>
            <w:tcMar>
              <w:top w:w="80" w:type="dxa"/>
              <w:start w:w="120" w:type="dxa"/>
              <w:bottom w:w="80" w:type="dxa"/>
              <w:end w:w="120" w:type="dxa"/>
            </w:tcMar>
            <w:vAlign w:val="center"/>
          </w:tcPr>
          <w:p>
            <w:pPr>
              <w:spacing w:after="0"/>
              <w:jc w:val="left"/>
            </w:pPr>
            <w:r>
              <w:rPr>
                <w:rFonts w:ascii="Calibri" w:hAnsi="Calibri" w:eastAsia="Calibri"/>
                <w:color w:val="000000"/>
                <w:sz w:val="19"/>
              </w:rPr>
              <w:t>Interfaz solo-anfitrión del equipo físico</w:t>
            </w:r>
          </w:p>
        </w:tc>
      </w:tr>
      <w:tr>
        <w:tc>
          <w:tcPr>
            <w:tcW w:type="dxa" w:w="2200"/>
            <w:tcMar>
              <w:top w:w="80" w:type="dxa"/>
              <w:start w:w="120" w:type="dxa"/>
              <w:bottom w:w="80" w:type="dxa"/>
              <w:end w:w="120" w:type="dxa"/>
            </w:tcMar>
            <w:vAlign w:val="center"/>
          </w:tcPr>
          <w:p>
            <w:pPr>
              <w:spacing w:after="0"/>
              <w:jc w:val="center"/>
            </w:pPr>
            <w:r>
              <w:rPr>
                <w:rFonts w:ascii="Calibri" w:hAnsi="Calibri" w:eastAsia="Calibri"/>
                <w:color w:val="000000"/>
                <w:sz w:val="19"/>
              </w:rPr>
              <w:t>Servicio virtual</w:t>
            </w:r>
          </w:p>
        </w:tc>
        <w:tc>
          <w:tcPr>
            <w:tcW w:type="dxa" w:w="2100"/>
            <w:tcMar>
              <w:top w:w="80" w:type="dxa"/>
              <w:start w:w="120" w:type="dxa"/>
              <w:bottom w:w="80" w:type="dxa"/>
              <w:end w:w="120" w:type="dxa"/>
            </w:tcMar>
            <w:vAlign w:val="center"/>
          </w:tcPr>
          <w:p>
            <w:pPr>
              <w:spacing w:after="0"/>
              <w:jc w:val="center"/>
            </w:pPr>
            <w:r>
              <w:rPr>
                <w:rFonts w:ascii="Calibri" w:hAnsi="Calibri" w:eastAsia="Calibri"/>
                <w:color w:val="000000"/>
                <w:sz w:val="19"/>
              </w:rPr>
              <w:t>192.168.56.100</w:t>
            </w:r>
          </w:p>
        </w:tc>
        <w:tc>
          <w:tcPr>
            <w:tcW w:type="dxa" w:w="5060"/>
            <w:tcMar>
              <w:top w:w="80" w:type="dxa"/>
              <w:start w:w="120" w:type="dxa"/>
              <w:bottom w:w="80" w:type="dxa"/>
              <w:end w:w="120" w:type="dxa"/>
            </w:tcMar>
            <w:vAlign w:val="center"/>
          </w:tcPr>
          <w:p>
            <w:pPr>
              <w:spacing w:after="0"/>
              <w:jc w:val="left"/>
            </w:pPr>
            <w:r>
              <w:rPr>
                <w:rFonts w:ascii="Calibri" w:hAnsi="Calibri" w:eastAsia="Calibri"/>
                <w:color w:val="000000"/>
                <w:sz w:val="19"/>
              </w:rPr>
              <w:t>Componente de la red VirtualBox</w:t>
            </w:r>
          </w:p>
        </w:tc>
      </w:tr>
      <w:tr>
        <w:tc>
          <w:tcPr>
            <w:tcW w:type="dxa" w:w="2200"/>
            <w:tcMar>
              <w:top w:w="80" w:type="dxa"/>
              <w:start w:w="120" w:type="dxa"/>
              <w:bottom w:w="80" w:type="dxa"/>
              <w:end w:w="120" w:type="dxa"/>
            </w:tcMar>
            <w:vAlign w:val="center"/>
          </w:tcPr>
          <w:p>
            <w:pPr>
              <w:spacing w:after="0"/>
              <w:jc w:val="center"/>
            </w:pPr>
            <w:r>
              <w:rPr>
                <w:rFonts w:ascii="Calibri" w:hAnsi="Calibri" w:eastAsia="Calibri"/>
                <w:color w:val="000000"/>
                <w:sz w:val="19"/>
              </w:rPr>
              <w:t>Snakeoil</w:t>
            </w:r>
          </w:p>
        </w:tc>
        <w:tc>
          <w:tcPr>
            <w:tcW w:type="dxa" w:w="2100"/>
            <w:tcMar>
              <w:top w:w="80" w:type="dxa"/>
              <w:start w:w="120" w:type="dxa"/>
              <w:bottom w:w="80" w:type="dxa"/>
              <w:end w:w="120" w:type="dxa"/>
            </w:tcMar>
            <w:vAlign w:val="center"/>
          </w:tcPr>
          <w:p>
            <w:pPr>
              <w:spacing w:after="0"/>
              <w:jc w:val="center"/>
            </w:pPr>
            <w:r>
              <w:rPr>
                <w:rFonts w:ascii="Calibri" w:hAnsi="Calibri" w:eastAsia="Calibri"/>
                <w:color w:val="000000"/>
                <w:sz w:val="19"/>
              </w:rPr>
              <w:t>192.168.56.103</w:t>
            </w:r>
          </w:p>
        </w:tc>
        <w:tc>
          <w:tcPr>
            <w:tcW w:type="dxa" w:w="5060"/>
            <w:tcMar>
              <w:top w:w="80" w:type="dxa"/>
              <w:start w:w="120" w:type="dxa"/>
              <w:bottom w:w="80" w:type="dxa"/>
              <w:end w:w="120" w:type="dxa"/>
            </w:tcMar>
            <w:vAlign w:val="center"/>
          </w:tcPr>
          <w:p>
            <w:pPr>
              <w:spacing w:after="0"/>
              <w:jc w:val="left"/>
            </w:pPr>
            <w:r>
              <w:rPr>
                <w:rFonts w:ascii="Calibri" w:hAnsi="Calibri" w:eastAsia="Calibri"/>
                <w:color w:val="000000"/>
                <w:sz w:val="19"/>
              </w:rPr>
              <w:t>08:00:27:FD:15:A2</w:t>
            </w:r>
          </w:p>
        </w:tc>
      </w:tr>
      <w:tr>
        <w:tc>
          <w:tcPr>
            <w:tcW w:type="dxa" w:w="2200"/>
            <w:tcMar>
              <w:top w:w="80" w:type="dxa"/>
              <w:start w:w="120" w:type="dxa"/>
              <w:bottom w:w="80" w:type="dxa"/>
              <w:end w:w="120" w:type="dxa"/>
            </w:tcMar>
            <w:vAlign w:val="center"/>
          </w:tcPr>
          <w:p>
            <w:pPr>
              <w:spacing w:after="0"/>
              <w:jc w:val="center"/>
            </w:pPr>
            <w:r>
              <w:rPr>
                <w:rFonts w:ascii="Calibri" w:hAnsi="Calibri" w:eastAsia="Calibri"/>
                <w:color w:val="000000"/>
                <w:sz w:val="19"/>
              </w:rPr>
              <w:t>Kali Linux</w:t>
            </w:r>
          </w:p>
        </w:tc>
        <w:tc>
          <w:tcPr>
            <w:tcW w:type="dxa" w:w="2100"/>
            <w:tcMar>
              <w:top w:w="80" w:type="dxa"/>
              <w:start w:w="120" w:type="dxa"/>
              <w:bottom w:w="80" w:type="dxa"/>
              <w:end w:w="120" w:type="dxa"/>
            </w:tcMar>
            <w:vAlign w:val="center"/>
          </w:tcPr>
          <w:p>
            <w:pPr>
              <w:spacing w:after="0"/>
              <w:jc w:val="center"/>
            </w:pPr>
            <w:r>
              <w:rPr>
                <w:rFonts w:ascii="Calibri" w:hAnsi="Calibri" w:eastAsia="Calibri"/>
                <w:color w:val="000000"/>
                <w:sz w:val="19"/>
              </w:rPr>
              <w:t>192.168.56.104</w:t>
            </w:r>
          </w:p>
        </w:tc>
        <w:tc>
          <w:tcPr>
            <w:tcW w:type="dxa" w:w="5060"/>
            <w:tcMar>
              <w:top w:w="80" w:type="dxa"/>
              <w:start w:w="120" w:type="dxa"/>
              <w:bottom w:w="80" w:type="dxa"/>
              <w:end w:w="120" w:type="dxa"/>
            </w:tcMar>
            <w:vAlign w:val="center"/>
          </w:tcPr>
          <w:p>
            <w:pPr>
              <w:spacing w:after="0"/>
              <w:jc w:val="left"/>
            </w:pPr>
            <w:r>
              <w:rPr>
                <w:rFonts w:ascii="Calibri" w:hAnsi="Calibri" w:eastAsia="Calibri"/>
                <w:color w:val="000000"/>
                <w:sz w:val="19"/>
              </w:rPr>
              <w:t>Estación de evaluación</w:t>
            </w:r>
          </w:p>
        </w:tc>
      </w:tr>
    </w:tbl>
    <w:p>
      <w:pPr>
        <w:spacing w:after="40"/>
      </w:pPr>
    </w:p>
    <w:p>
      <w:r>
        <w:br w:type="page"/>
      </w:r>
    </w:p>
    <w:p>
      <w:pPr>
        <w:pStyle w:val="Heading1"/>
      </w:pPr>
      <w:r>
        <w:t>5. Escaneo de puertos y servicios</w:t>
      </w:r>
    </w:p>
    <w:p>
      <w:r>
        <w:rPr>
          <w:rFonts w:ascii="Calibri" w:hAnsi="Calibri" w:eastAsia="Calibri"/>
          <w:i w:val="0"/>
          <w:color w:val="000000"/>
          <w:sz w:val="22"/>
        </w:rPr>
        <w:t>Con el objetivo identificado se ejecutó un escaneo completo de puertos TCP, servicios, scripts predeterminados y detección aproximada del sistema operativo:</w:t>
      </w:r>
    </w:p>
    <w:p>
      <w:pPr>
        <w:pStyle w:val="CodeBlock"/>
        <w:shd w:fill="E8EEF5"/>
      </w:pPr>
      <w:r>
        <w:rPr>
          <w:rFonts w:ascii="Consolas" w:hAnsi="Consolas" w:eastAsia="Consolas"/>
          <w:color w:val="0B2545"/>
          <w:sz w:val="18"/>
        </w:rPr>
        <w:t>sudo nmap -sS -sV -sC -O -p- 192.168.56.103 -oN snakeoil_escaneo_completo.txt</w:t>
      </w:r>
    </w:p>
    <w:p>
      <w:pPr>
        <w:keepNext/>
        <w:spacing w:before="60" w:after="0"/>
        <w:jc w:val="center"/>
      </w:pPr>
      <w:r>
        <w:drawing>
          <wp:inline xmlns:a="http://schemas.openxmlformats.org/drawingml/2006/main" xmlns:pic="http://schemas.openxmlformats.org/drawingml/2006/picture">
            <wp:extent cx="5715000" cy="3213385"/>
            <wp:docPr id="8" name="Picture 8" descr="Salida completa de Nmap con los puertos 22, 80 y 8080 abiertos."/>
            <wp:cNvGraphicFramePr>
              <a:graphicFrameLocks noChangeAspect="1"/>
            </wp:cNvGraphicFramePr>
            <a:graphic>
              <a:graphicData uri="http://schemas.openxmlformats.org/drawingml/2006/picture">
                <pic:pic>
                  <pic:nvPicPr>
                    <pic:cNvPr id="0" name="Captura de pantalla 2026-09-06 215130.png"/>
                    <pic:cNvPicPr/>
                  </pic:nvPicPr>
                  <pic:blipFill>
                    <a:blip r:embed="rId18"/>
                    <a:stretch>
                      <a:fillRect/>
                    </a:stretch>
                  </pic:blipFill>
                  <pic:spPr>
                    <a:xfrm>
                      <a:off x="0" y="0"/>
                      <a:ext cx="5715000" cy="3213385"/>
                    </a:xfrm>
                    <a:prstGeom prst="rect"/>
                  </pic:spPr>
                </pic:pic>
              </a:graphicData>
            </a:graphic>
          </wp:inline>
        </w:drawing>
      </w:r>
    </w:p>
    <w:p>
      <w:pPr>
        <w:pStyle w:val="Caption"/>
        <w:jc w:val="center"/>
      </w:pPr>
      <w:r>
        <w:t>Figura 8. Escaneo completo de puertos y servicios de Snakeoil.</w:t>
      </w:r>
    </w:p>
    <w:tbl>
      <w:tblPr>
        <w:tblStyle w:val="TableGrid"/>
        <w:tblW w:type="dxa" w:w="9360"/>
        <w:tblLayout w:type="fixed"/>
        <w:tblLook w:firstColumn="1" w:firstRow="1" w:lastColumn="0" w:lastRow="0" w:noHBand="0" w:noVBand="1" w:val="04A0"/>
        <w:jc w:val="left"/>
        <w:tblInd w:w="120" w:type="dxa"/>
      </w:tblPr>
      <w:tblGrid>
        <w:gridCol w:w="1100"/>
        <w:gridCol w:w="1300"/>
        <w:gridCol w:w="3000"/>
        <w:gridCol w:w="3960"/>
      </w:tblGrid>
      <w:tr>
        <w:trPr>
          <w:tblHeader w:val="true"/>
        </w:trPr>
        <w:tc>
          <w:tcPr>
            <w:tcW w:type="dxa" w:w="11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Puerto</w:t>
            </w:r>
          </w:p>
        </w:tc>
        <w:tc>
          <w:tcPr>
            <w:tcW w:type="dxa" w:w="13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Servicio</w:t>
            </w:r>
          </w:p>
        </w:tc>
        <w:tc>
          <w:tcPr>
            <w:tcW w:type="dxa" w:w="30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Versión observada</w:t>
            </w:r>
          </w:p>
        </w:tc>
        <w:tc>
          <w:tcPr>
            <w:tcW w:type="dxa" w:w="396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Interpretación inicial</w:t>
            </w:r>
          </w:p>
        </w:tc>
      </w:tr>
      <w:tr>
        <w:tc>
          <w:tcPr>
            <w:tcW w:type="dxa" w:w="1100"/>
            <w:tcMar>
              <w:top w:w="80" w:type="dxa"/>
              <w:start w:w="120" w:type="dxa"/>
              <w:bottom w:w="80" w:type="dxa"/>
              <w:end w:w="120" w:type="dxa"/>
            </w:tcMar>
            <w:vAlign w:val="center"/>
          </w:tcPr>
          <w:p>
            <w:pPr>
              <w:spacing w:after="0"/>
              <w:jc w:val="center"/>
            </w:pPr>
            <w:r>
              <w:rPr>
                <w:rFonts w:ascii="Calibri" w:hAnsi="Calibri" w:eastAsia="Calibri"/>
                <w:color w:val="000000"/>
                <w:sz w:val="18"/>
              </w:rPr>
              <w:t>22/tcp</w:t>
            </w:r>
          </w:p>
        </w:tc>
        <w:tc>
          <w:tcPr>
            <w:tcW w:type="dxa" w:w="1300"/>
            <w:tcMar>
              <w:top w:w="80" w:type="dxa"/>
              <w:start w:w="120" w:type="dxa"/>
              <w:bottom w:w="80" w:type="dxa"/>
              <w:end w:w="120" w:type="dxa"/>
            </w:tcMar>
            <w:vAlign w:val="center"/>
          </w:tcPr>
          <w:p>
            <w:pPr>
              <w:spacing w:after="0"/>
              <w:jc w:val="center"/>
            </w:pPr>
            <w:r>
              <w:rPr>
                <w:rFonts w:ascii="Calibri" w:hAnsi="Calibri" w:eastAsia="Calibri"/>
                <w:color w:val="000000"/>
                <w:sz w:val="18"/>
              </w:rPr>
              <w:t>SSH</w:t>
            </w:r>
          </w:p>
        </w:tc>
        <w:tc>
          <w:tcPr>
            <w:tcW w:type="dxa" w:w="3000"/>
            <w:tcMar>
              <w:top w:w="80" w:type="dxa"/>
              <w:start w:w="120" w:type="dxa"/>
              <w:bottom w:w="80" w:type="dxa"/>
              <w:end w:w="120" w:type="dxa"/>
            </w:tcMar>
            <w:vAlign w:val="center"/>
          </w:tcPr>
          <w:p>
            <w:pPr>
              <w:spacing w:after="0"/>
              <w:jc w:val="left"/>
            </w:pPr>
            <w:r>
              <w:rPr>
                <w:rFonts w:ascii="Calibri" w:hAnsi="Calibri" w:eastAsia="Calibri"/>
                <w:color w:val="000000"/>
                <w:sz w:val="18"/>
              </w:rPr>
              <w:t>OpenSSH 7.9p1 Debian 10+deb10u2</w:t>
            </w:r>
          </w:p>
        </w:tc>
        <w:tc>
          <w:tcPr>
            <w:tcW w:type="dxa" w:w="3960"/>
            <w:tcMar>
              <w:top w:w="80" w:type="dxa"/>
              <w:start w:w="120" w:type="dxa"/>
              <w:bottom w:w="80" w:type="dxa"/>
              <w:end w:w="120" w:type="dxa"/>
            </w:tcMar>
            <w:vAlign w:val="center"/>
          </w:tcPr>
          <w:p>
            <w:pPr>
              <w:spacing w:after="0"/>
              <w:jc w:val="left"/>
            </w:pPr>
            <w:r>
              <w:rPr>
                <w:rFonts w:ascii="Calibri" w:hAnsi="Calibri" w:eastAsia="Calibri"/>
                <w:color w:val="000000"/>
                <w:sz w:val="18"/>
              </w:rPr>
              <w:t>Servicio de acceso remoto; requiere autenticación.</w:t>
            </w:r>
          </w:p>
        </w:tc>
      </w:tr>
      <w:tr>
        <w:tc>
          <w:tcPr>
            <w:tcW w:type="dxa" w:w="1100"/>
            <w:tcMar>
              <w:top w:w="80" w:type="dxa"/>
              <w:start w:w="120" w:type="dxa"/>
              <w:bottom w:w="80" w:type="dxa"/>
              <w:end w:w="120" w:type="dxa"/>
            </w:tcMar>
            <w:vAlign w:val="center"/>
          </w:tcPr>
          <w:p>
            <w:pPr>
              <w:spacing w:after="0"/>
              <w:jc w:val="center"/>
            </w:pPr>
            <w:r>
              <w:rPr>
                <w:rFonts w:ascii="Calibri" w:hAnsi="Calibri" w:eastAsia="Calibri"/>
                <w:color w:val="000000"/>
                <w:sz w:val="18"/>
              </w:rPr>
              <w:t>80/tcp</w:t>
            </w:r>
          </w:p>
        </w:tc>
        <w:tc>
          <w:tcPr>
            <w:tcW w:type="dxa" w:w="1300"/>
            <w:tcMar>
              <w:top w:w="80" w:type="dxa"/>
              <w:start w:w="120" w:type="dxa"/>
              <w:bottom w:w="80" w:type="dxa"/>
              <w:end w:w="120" w:type="dxa"/>
            </w:tcMar>
            <w:vAlign w:val="center"/>
          </w:tcPr>
          <w:p>
            <w:pPr>
              <w:spacing w:after="0"/>
              <w:jc w:val="center"/>
            </w:pPr>
            <w:r>
              <w:rPr>
                <w:rFonts w:ascii="Calibri" w:hAnsi="Calibri" w:eastAsia="Calibri"/>
                <w:color w:val="000000"/>
                <w:sz w:val="18"/>
              </w:rPr>
              <w:t>HTTP</w:t>
            </w:r>
          </w:p>
        </w:tc>
        <w:tc>
          <w:tcPr>
            <w:tcW w:type="dxa" w:w="3000"/>
            <w:tcMar>
              <w:top w:w="80" w:type="dxa"/>
              <w:start w:w="120" w:type="dxa"/>
              <w:bottom w:w="80" w:type="dxa"/>
              <w:end w:w="120" w:type="dxa"/>
            </w:tcMar>
            <w:vAlign w:val="center"/>
          </w:tcPr>
          <w:p>
            <w:pPr>
              <w:spacing w:after="0"/>
              <w:jc w:val="center"/>
            </w:pPr>
            <w:r>
              <w:rPr>
                <w:rFonts w:ascii="Calibri" w:hAnsi="Calibri" w:eastAsia="Calibri"/>
                <w:color w:val="000000"/>
                <w:sz w:val="18"/>
              </w:rPr>
              <w:t>nginx 1.14.2</w:t>
            </w:r>
          </w:p>
        </w:tc>
        <w:tc>
          <w:tcPr>
            <w:tcW w:type="dxa" w:w="3960"/>
            <w:tcMar>
              <w:top w:w="80" w:type="dxa"/>
              <w:start w:w="120" w:type="dxa"/>
              <w:bottom w:w="80" w:type="dxa"/>
              <w:end w:w="120" w:type="dxa"/>
            </w:tcMar>
            <w:vAlign w:val="center"/>
          </w:tcPr>
          <w:p>
            <w:pPr>
              <w:spacing w:after="0"/>
              <w:jc w:val="left"/>
            </w:pPr>
            <w:r>
              <w:rPr>
                <w:rFonts w:ascii="Calibri" w:hAnsi="Calibri" w:eastAsia="Calibri"/>
                <w:color w:val="000000"/>
                <w:sz w:val="18"/>
              </w:rPr>
              <w:t>Página de bienvenida de Snakeoil.</w:t>
            </w:r>
          </w:p>
        </w:tc>
      </w:tr>
      <w:tr>
        <w:tc>
          <w:tcPr>
            <w:tcW w:type="dxa" w:w="1100"/>
            <w:tcMar>
              <w:top w:w="80" w:type="dxa"/>
              <w:start w:w="120" w:type="dxa"/>
              <w:bottom w:w="80" w:type="dxa"/>
              <w:end w:w="120" w:type="dxa"/>
            </w:tcMar>
            <w:vAlign w:val="center"/>
          </w:tcPr>
          <w:p>
            <w:pPr>
              <w:spacing w:after="0"/>
              <w:jc w:val="center"/>
            </w:pPr>
            <w:r>
              <w:rPr>
                <w:rFonts w:ascii="Calibri" w:hAnsi="Calibri" w:eastAsia="Calibri"/>
                <w:color w:val="000000"/>
                <w:sz w:val="18"/>
              </w:rPr>
              <w:t>8080/tcp</w:t>
            </w:r>
          </w:p>
        </w:tc>
        <w:tc>
          <w:tcPr>
            <w:tcW w:type="dxa" w:w="1300"/>
            <w:tcMar>
              <w:top w:w="80" w:type="dxa"/>
              <w:start w:w="120" w:type="dxa"/>
              <w:bottom w:w="80" w:type="dxa"/>
              <w:end w:w="120" w:type="dxa"/>
            </w:tcMar>
            <w:vAlign w:val="center"/>
          </w:tcPr>
          <w:p>
            <w:pPr>
              <w:spacing w:after="0"/>
              <w:jc w:val="center"/>
            </w:pPr>
            <w:r>
              <w:rPr>
                <w:rFonts w:ascii="Calibri" w:hAnsi="Calibri" w:eastAsia="Calibri"/>
                <w:color w:val="000000"/>
                <w:sz w:val="18"/>
              </w:rPr>
              <w:t>HTTP</w:t>
            </w:r>
          </w:p>
        </w:tc>
        <w:tc>
          <w:tcPr>
            <w:tcW w:type="dxa" w:w="3000"/>
            <w:tcMar>
              <w:top w:w="80" w:type="dxa"/>
              <w:start w:w="120" w:type="dxa"/>
              <w:bottom w:w="80" w:type="dxa"/>
              <w:end w:w="120" w:type="dxa"/>
            </w:tcMar>
            <w:vAlign w:val="center"/>
          </w:tcPr>
          <w:p>
            <w:pPr>
              <w:spacing w:after="0"/>
              <w:jc w:val="center"/>
            </w:pPr>
            <w:r>
              <w:rPr>
                <w:rFonts w:ascii="Calibri" w:hAnsi="Calibri" w:eastAsia="Calibri"/>
                <w:color w:val="000000"/>
                <w:sz w:val="18"/>
              </w:rPr>
              <w:t>nginx 1.14.2</w:t>
            </w:r>
          </w:p>
        </w:tc>
        <w:tc>
          <w:tcPr>
            <w:tcW w:type="dxa" w:w="3960"/>
            <w:tcMar>
              <w:top w:w="80" w:type="dxa"/>
              <w:start w:w="120" w:type="dxa"/>
              <w:bottom w:w="80" w:type="dxa"/>
              <w:end w:w="120" w:type="dxa"/>
            </w:tcMar>
            <w:vAlign w:val="center"/>
          </w:tcPr>
          <w:p>
            <w:pPr>
              <w:spacing w:after="0"/>
              <w:jc w:val="left"/>
            </w:pPr>
            <w:r>
              <w:rPr>
                <w:rFonts w:ascii="Calibri" w:hAnsi="Calibri" w:eastAsia="Calibri"/>
                <w:color w:val="000000"/>
                <w:sz w:val="18"/>
              </w:rPr>
              <w:t>Aplicación web Good Tech Inc.; principal superficie inicial.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eastAsia="Calibri"/>
                <w:b/>
                <w:color w:val="2E74B5"/>
                <w:sz w:val="21"/>
              </w:rPr>
              <w:t xml:space="preserve">Criterio técnico: </w:t>
            </w:r>
            <w:r>
              <w:rPr>
                <w:rFonts w:ascii="Calibri" w:hAnsi="Calibri" w:eastAsia="Calibri"/>
                <w:color w:val="0B2545"/>
                <w:sz w:val="21"/>
              </w:rPr>
              <w:t>La versión de un servicio no demuestra por sí sola una vulnerabilidad. Los resultados de Nmap se emplean para orientar la enumeración y posteriormente deberán contrastarse con la configuración real y fuentes confiables.</w:t>
            </w:r>
          </w:p>
        </w:tc>
      </w:tr>
    </w:tbl>
    <w:p>
      <w:pPr>
        <w:spacing w:after="40"/>
      </w:pPr>
    </w:p>
    <w:p>
      <w:r>
        <w:br w:type="page"/>
      </w:r>
    </w:p>
    <w:p>
      <w:pPr>
        <w:pStyle w:val="Heading1"/>
      </w:pPr>
      <w:r>
        <w:t>6. Reconocimiento de aplicaciones web</w:t>
      </w:r>
    </w:p>
    <w:p>
      <w:pPr>
        <w:pStyle w:val="Heading2"/>
      </w:pPr>
      <w:r>
        <w:t>6.1 Servicio HTTP del puerto 80</w:t>
      </w:r>
    </w:p>
    <w:p>
      <w:r>
        <w:rPr>
          <w:rFonts w:ascii="Calibri" w:hAnsi="Calibri" w:eastAsia="Calibri"/>
          <w:i w:val="0"/>
          <w:color w:val="000000"/>
          <w:sz w:val="22"/>
        </w:rPr>
        <w:t>El puerto 80 presentó una página estática que confirma que SNAKEOIL está configurada correctamente. El único enlace visible dirige a Google y no forma parte del objetivo local, por lo que no se siguió durante la prueba aislada.</w:t>
      </w:r>
    </w:p>
    <w:p>
      <w:pPr>
        <w:keepNext/>
        <w:spacing w:before="60" w:after="0"/>
        <w:jc w:val="center"/>
      </w:pPr>
      <w:r>
        <w:drawing>
          <wp:inline xmlns:a="http://schemas.openxmlformats.org/drawingml/2006/main" xmlns:pic="http://schemas.openxmlformats.org/drawingml/2006/picture">
            <wp:extent cx="5715000" cy="3213385"/>
            <wp:docPr id="9" name="Picture 9" descr="Página Welcome to SNAKEOIL servida por nginx en el puerto 80."/>
            <wp:cNvGraphicFramePr>
              <a:graphicFrameLocks noChangeAspect="1"/>
            </wp:cNvGraphicFramePr>
            <a:graphic>
              <a:graphicData uri="http://schemas.openxmlformats.org/drawingml/2006/picture">
                <pic:pic>
                  <pic:nvPicPr>
                    <pic:cNvPr id="0" name="Captura de pantalla 2026-09-06 215311.png"/>
                    <pic:cNvPicPr/>
                  </pic:nvPicPr>
                  <pic:blipFill>
                    <a:blip r:embed="rId19"/>
                    <a:stretch>
                      <a:fillRect/>
                    </a:stretch>
                  </pic:blipFill>
                  <pic:spPr>
                    <a:xfrm>
                      <a:off x="0" y="0"/>
                      <a:ext cx="5715000" cy="3213385"/>
                    </a:xfrm>
                    <a:prstGeom prst="rect"/>
                  </pic:spPr>
                </pic:pic>
              </a:graphicData>
            </a:graphic>
          </wp:inline>
        </w:drawing>
      </w:r>
    </w:p>
    <w:p>
      <w:pPr>
        <w:pStyle w:val="Caption"/>
        <w:jc w:val="center"/>
      </w:pPr>
      <w:r>
        <w:t>Figura 9. Página de bienvenida expuesta en el puerto 80.</w:t>
      </w:r>
    </w:p>
    <w:p>
      <w:r>
        <w:br w:type="page"/>
      </w:r>
    </w:p>
    <w:p>
      <w:pPr>
        <w:pStyle w:val="Heading2"/>
      </w:pPr>
      <w:r>
        <w:t>6.2 Aplicación web del puerto 8080</w:t>
      </w:r>
    </w:p>
    <w:p>
      <w:r>
        <w:rPr>
          <w:rFonts w:ascii="Calibri" w:hAnsi="Calibri" w:eastAsia="Calibri"/>
          <w:i w:val="0"/>
          <w:color w:val="000000"/>
          <w:sz w:val="22"/>
        </w:rPr>
        <w:t>En el puerto 8080 se observó una aplicación de publicaciones denominada Good Tech Inc.'s Snake Oil Project. La página expone enlaces a About, New Post y tres publicaciones, además de controles Edit.</w:t>
      </w:r>
    </w:p>
    <w:p>
      <w:pPr>
        <w:keepNext/>
        <w:spacing w:before="60" w:after="0"/>
        <w:jc w:val="center"/>
      </w:pPr>
      <w:r>
        <w:drawing>
          <wp:inline xmlns:a="http://schemas.openxmlformats.org/drawingml/2006/main" xmlns:pic="http://schemas.openxmlformats.org/drawingml/2006/picture">
            <wp:extent cx="5715000" cy="3213385"/>
            <wp:docPr id="10" name="Picture 10" descr="Aplicación Good Tech Inc. en el puerto 8080 con publicaciones y enlaces de edición."/>
            <wp:cNvGraphicFramePr>
              <a:graphicFrameLocks noChangeAspect="1"/>
            </wp:cNvGraphicFramePr>
            <a:graphic>
              <a:graphicData uri="http://schemas.openxmlformats.org/drawingml/2006/picture">
                <pic:pic>
                  <pic:nvPicPr>
                    <pic:cNvPr id="0" name="Captura de pantalla 2026-09-06 215338.png"/>
                    <pic:cNvPicPr/>
                  </pic:nvPicPr>
                  <pic:blipFill>
                    <a:blip r:embed="rId20"/>
                    <a:stretch>
                      <a:fillRect/>
                    </a:stretch>
                  </pic:blipFill>
                  <pic:spPr>
                    <a:xfrm>
                      <a:off x="0" y="0"/>
                      <a:ext cx="5715000" cy="3213385"/>
                    </a:xfrm>
                    <a:prstGeom prst="rect"/>
                  </pic:spPr>
                </pic:pic>
              </a:graphicData>
            </a:graphic>
          </wp:inline>
        </w:drawing>
      </w:r>
    </w:p>
    <w:p>
      <w:pPr>
        <w:pStyle w:val="Caption"/>
        <w:jc w:val="center"/>
      </w:pPr>
      <w:r>
        <w:t>Figura 10. Página principal de la aplicación web en el puerto 8080.</w:t>
      </w:r>
    </w:p>
    <w:p>
      <w:r>
        <w:br w:type="page"/>
      </w:r>
    </w:p>
    <w:p>
      <w:pPr>
        <w:pStyle w:val="Heading1"/>
      </w:pPr>
      <w:r>
        <w:t>7. Enumeración manual de rutas y pistas</w:t>
      </w:r>
    </w:p>
    <w:p>
      <w:r>
        <w:rPr>
          <w:rFonts w:ascii="Calibri" w:hAnsi="Calibri" w:eastAsia="Calibri"/>
          <w:i w:val="0"/>
          <w:color w:val="000000"/>
          <w:sz w:val="22"/>
        </w:rPr>
        <w:t>Las publicaciones emplean identificadores numéricos predecibles en la ruta: /1 para Introduction, /2 para House Rules y /4 para Useful Links. Se revisó cada recurso sin modificar datos.</w:t>
      </w:r>
    </w:p>
    <w:p>
      <w:pPr>
        <w:keepNext/>
        <w:spacing w:before="60" w:after="0"/>
        <w:jc w:val="center"/>
      </w:pPr>
      <w:r>
        <w:drawing>
          <wp:inline xmlns:a="http://schemas.openxmlformats.org/drawingml/2006/main" xmlns:pic="http://schemas.openxmlformats.org/drawingml/2006/picture">
            <wp:extent cx="5285342" cy="2971800"/>
            <wp:docPr id="11" name="Picture 11" descr="Publicación Introduction accesible mediante el identificador numérico 1."/>
            <wp:cNvGraphicFramePr>
              <a:graphicFrameLocks noChangeAspect="1"/>
            </wp:cNvGraphicFramePr>
            <a:graphic>
              <a:graphicData uri="http://schemas.openxmlformats.org/drawingml/2006/picture">
                <pic:pic>
                  <pic:nvPicPr>
                    <pic:cNvPr id="0" name="Captura de pantalla 2026-09-06 215633.png"/>
                    <pic:cNvPicPr/>
                  </pic:nvPicPr>
                  <pic:blipFill>
                    <a:blip r:embed="rId21"/>
                    <a:stretch>
                      <a:fillRect/>
                    </a:stretch>
                  </pic:blipFill>
                  <pic:spPr>
                    <a:xfrm>
                      <a:off x="0" y="0"/>
                      <a:ext cx="5285342" cy="2971800"/>
                    </a:xfrm>
                    <a:prstGeom prst="rect"/>
                  </pic:spPr>
                </pic:pic>
              </a:graphicData>
            </a:graphic>
          </wp:inline>
        </w:drawing>
      </w:r>
    </w:p>
    <w:p>
      <w:pPr>
        <w:pStyle w:val="Caption"/>
        <w:jc w:val="center"/>
      </w:pPr>
      <w:r>
        <w:t>Figura 11. Recurso /1, publicación Introduction.</w:t>
      </w:r>
    </w:p>
    <w:p>
      <w:pPr>
        <w:keepNext/>
        <w:spacing w:before="60" w:after="0"/>
        <w:jc w:val="center"/>
      </w:pPr>
      <w:r>
        <w:drawing>
          <wp:inline xmlns:a="http://schemas.openxmlformats.org/drawingml/2006/main" xmlns:pic="http://schemas.openxmlformats.org/drawingml/2006/picture">
            <wp:extent cx="5285342" cy="2971800"/>
            <wp:docPr id="12" name="Picture 12" descr="Publicación House Rules que identifica a Patrick como Head Development."/>
            <wp:cNvGraphicFramePr>
              <a:graphicFrameLocks noChangeAspect="1"/>
            </wp:cNvGraphicFramePr>
            <a:graphic>
              <a:graphicData uri="http://schemas.openxmlformats.org/drawingml/2006/picture">
                <pic:pic>
                  <pic:nvPicPr>
                    <pic:cNvPr id="0" name="Captura de pantalla 2026-09-06 215656.png"/>
                    <pic:cNvPicPr/>
                  </pic:nvPicPr>
                  <pic:blipFill>
                    <a:blip r:embed="rId22"/>
                    <a:stretch>
                      <a:fillRect/>
                    </a:stretch>
                  </pic:blipFill>
                  <pic:spPr>
                    <a:xfrm>
                      <a:off x="0" y="0"/>
                      <a:ext cx="5285342" cy="2971800"/>
                    </a:xfrm>
                    <a:prstGeom prst="rect"/>
                  </pic:spPr>
                </pic:pic>
              </a:graphicData>
            </a:graphic>
          </wp:inline>
        </w:drawing>
      </w:r>
    </w:p>
    <w:p>
      <w:pPr>
        <w:pStyle w:val="Caption"/>
        <w:jc w:val="center"/>
      </w:pPr>
      <w:r>
        <w:t>Figura 12. Recurso /2, publicación House Rules firmada por Patrick.</w:t>
      </w:r>
    </w:p>
    <w:p>
      <w:r>
        <w:rPr>
          <w:rFonts w:ascii="Calibri" w:hAnsi="Calibri" w:eastAsia="Calibri"/>
          <w:i w:val="0"/>
          <w:color w:val="000000"/>
          <w:sz w:val="22"/>
        </w:rPr>
        <w:t>La publicación House Rules confirma que Patrick es responsable de desarrollo. Además, muestra literalmente una etiqueta HTML &lt;b&gt;not&lt;/b&gt;, observación que deberá conservarse para analizar posteriormente cómo procesa la aplicación el contenido almacenado.</w:t>
      </w:r>
    </w:p>
    <w:p>
      <w:r>
        <w:br w:type="page"/>
      </w:r>
    </w:p>
    <w:p>
      <w:pPr>
        <w:pStyle w:val="Heading2"/>
      </w:pPr>
      <w:r>
        <w:t>7.1 Pista tecnológica en el recurso /4</w:t>
      </w:r>
    </w:p>
    <w:p>
      <w:pPr>
        <w:keepNext/>
        <w:spacing w:before="60" w:after="0"/>
        <w:jc w:val="center"/>
      </w:pPr>
      <w:r>
        <w:drawing>
          <wp:inline xmlns:a="http://schemas.openxmlformats.org/drawingml/2006/main" xmlns:pic="http://schemas.openxmlformats.org/drawingml/2006/picture">
            <wp:extent cx="5715000" cy="3223463"/>
            <wp:docPr id="13" name="Picture 13" descr="Publicación Useful Links que menciona Flask-JWT-Extended."/>
            <wp:cNvGraphicFramePr>
              <a:graphicFrameLocks noChangeAspect="1"/>
            </wp:cNvGraphicFramePr>
            <a:graphic>
              <a:graphicData uri="http://schemas.openxmlformats.org/drawingml/2006/picture">
                <pic:pic>
                  <pic:nvPicPr>
                    <pic:cNvPr id="0" name="Captura de pantalla 2026-09-06 215714.png"/>
                    <pic:cNvPicPr/>
                  </pic:nvPicPr>
                  <pic:blipFill>
                    <a:blip r:embed="rId23"/>
                    <a:stretch>
                      <a:fillRect/>
                    </a:stretch>
                  </pic:blipFill>
                  <pic:spPr>
                    <a:xfrm>
                      <a:off x="0" y="0"/>
                      <a:ext cx="5715000" cy="3223463"/>
                    </a:xfrm>
                    <a:prstGeom prst="rect"/>
                  </pic:spPr>
                </pic:pic>
              </a:graphicData>
            </a:graphic>
          </wp:inline>
        </w:drawing>
      </w:r>
    </w:p>
    <w:p>
      <w:pPr>
        <w:pStyle w:val="Caption"/>
        <w:jc w:val="center"/>
      </w:pPr>
      <w:r>
        <w:t>Figura 13. Recurso /4, pista sobre Flask y autenticación mediante JWT.</w:t>
      </w:r>
    </w:p>
    <w:p>
      <w:r>
        <w:rPr>
          <w:rFonts w:ascii="Calibri" w:hAnsi="Calibri" w:eastAsia="Calibri"/>
          <w:i w:val="0"/>
          <w:color w:val="000000"/>
          <w:sz w:val="22"/>
        </w:rPr>
        <w:t>La publicación Useful Links indica que la aplicación fue construida con Flask y que utiliza JSON Web Tokens (JWT) mediante Flask-JWT-Extended. Este dato orientará el análisis posterior de autenticación, pero no demuestra por sí mismo una falla.</w:t>
      </w:r>
    </w:p>
    <w:p>
      <w:r>
        <w:br w:type="page"/>
      </w:r>
    </w:p>
    <w:p>
      <w:pPr>
        <w:pStyle w:val="Heading2"/>
      </w:pPr>
      <w:r>
        <w:t>7.2 Comprobación del identificador ausente /3</w:t>
      </w:r>
    </w:p>
    <w:p>
      <w:r>
        <w:rPr>
          <w:rFonts w:ascii="Calibri" w:hAnsi="Calibri" w:eastAsia="Calibri"/>
          <w:i w:val="0"/>
          <w:color w:val="000000"/>
          <w:sz w:val="22"/>
        </w:rPr>
        <w:t>Debido a que la secuencia visible salta del identificador 2 al 4, se solicitó manualmente /3 para comprobar si existía un recurso no listado.</w:t>
      </w:r>
    </w:p>
    <w:p>
      <w:pPr>
        <w:pStyle w:val="CodeBlock"/>
        <w:shd w:fill="E8EEF5"/>
      </w:pPr>
      <w:r>
        <w:rPr>
          <w:rFonts w:ascii="Consolas" w:hAnsi="Consolas" w:eastAsia="Consolas"/>
          <w:color w:val="0B2545"/>
          <w:sz w:val="18"/>
        </w:rPr>
        <w:t>http://192.168.56.103:8080/3</w:t>
      </w:r>
    </w:p>
    <w:p>
      <w:pPr>
        <w:keepNext/>
        <w:spacing w:before="60" w:after="0"/>
        <w:jc w:val="center"/>
      </w:pPr>
      <w:r>
        <w:drawing>
          <wp:inline xmlns:a="http://schemas.openxmlformats.org/drawingml/2006/main" xmlns:pic="http://schemas.openxmlformats.org/drawingml/2006/picture">
            <wp:extent cx="5715000" cy="3213385"/>
            <wp:docPr id="14" name="Picture 14" descr="Respuesta JSON Who moved my cheese con success false en la ruta 3."/>
            <wp:cNvGraphicFramePr>
              <a:graphicFrameLocks noChangeAspect="1"/>
            </wp:cNvGraphicFramePr>
            <a:graphic>
              <a:graphicData uri="http://schemas.openxmlformats.org/drawingml/2006/picture">
                <pic:pic>
                  <pic:nvPicPr>
                    <pic:cNvPr id="0" name="Captura de pantalla 2026-09-06 220054.png"/>
                    <pic:cNvPicPr/>
                  </pic:nvPicPr>
                  <pic:blipFill>
                    <a:blip r:embed="rId24"/>
                    <a:stretch>
                      <a:fillRect/>
                    </a:stretch>
                  </pic:blipFill>
                  <pic:spPr>
                    <a:xfrm>
                      <a:off x="0" y="0"/>
                      <a:ext cx="5715000" cy="3213385"/>
                    </a:xfrm>
                    <a:prstGeom prst="rect"/>
                  </pic:spPr>
                </pic:pic>
              </a:graphicData>
            </a:graphic>
          </wp:inline>
        </w:drawing>
      </w:r>
    </w:p>
    <w:p>
      <w:pPr>
        <w:pStyle w:val="Caption"/>
        <w:jc w:val="center"/>
      </w:pPr>
      <w:r>
        <w:t>Figura 14. Respuesta JSON personalizada obtenida al solicitar el identificador /3.</w:t>
      </w:r>
    </w:p>
    <w:p>
      <w:r>
        <w:rPr>
          <w:rFonts w:ascii="Calibri" w:hAnsi="Calibri" w:eastAsia="Calibri"/>
          <w:i w:val="0"/>
          <w:color w:val="000000"/>
          <w:sz w:val="22"/>
        </w:rPr>
        <w:t>La ruta no reveló una publicación; respondió con el mensaje Who moved my cheese? y success: false. El resultado confirma que la aplicación procesa identificadores numéricos y utiliza una respuesta de error personalizada.</w:t>
      </w:r>
    </w:p>
    <w:p>
      <w:r>
        <w:br w:type="page"/>
      </w:r>
    </w:p>
    <w:p>
      <w:pPr>
        <w:pStyle w:val="Heading1"/>
      </w:pPr>
      <w:r>
        <w:t>8. Enumeración automática de contenido</w:t>
      </w:r>
    </w:p>
    <w:p>
      <w:r>
        <w:rPr>
          <w:rFonts w:ascii="Calibri" w:hAnsi="Calibri" w:eastAsia="Calibri"/>
          <w:i w:val="0"/>
          <w:color w:val="000000"/>
          <w:sz w:val="22"/>
        </w:rPr>
        <w:t>Para identificar rutas no enlazadas desde la interfaz se utilizó Gobuster con una lista común y extensiones de interés:</w:t>
      </w:r>
    </w:p>
    <w:p>
      <w:pPr>
        <w:pStyle w:val="CodeBlock"/>
        <w:shd w:fill="E8EEF5"/>
      </w:pPr>
      <w:r>
        <w:rPr>
          <w:rFonts w:ascii="Consolas" w:hAnsi="Consolas" w:eastAsia="Consolas"/>
          <w:color w:val="0B2545"/>
          <w:sz w:val="18"/>
        </w:rPr>
        <w:t>gobuster dir -u http://192.168.56.103:8080 -w /usr/share/wordlists/dirb/common.txt -x txt,html,py -o gobuster_8080.txt</w:t>
      </w:r>
    </w:p>
    <w:p>
      <w:pPr>
        <w:keepNext/>
        <w:spacing w:before="60" w:after="0"/>
        <w:jc w:val="center"/>
      </w:pPr>
      <w:r>
        <w:drawing>
          <wp:inline xmlns:a="http://schemas.openxmlformats.org/drawingml/2006/main" xmlns:pic="http://schemas.openxmlformats.org/drawingml/2006/picture">
            <wp:extent cx="5715000" cy="3213385"/>
            <wp:docPr id="15" name="Picture 15" descr="Resultados de Gobuster mostrando rutas create, login, registration, run, secret, test y users."/>
            <wp:cNvGraphicFramePr>
              <a:graphicFrameLocks noChangeAspect="1"/>
            </wp:cNvGraphicFramePr>
            <a:graphic>
              <a:graphicData uri="http://schemas.openxmlformats.org/drawingml/2006/picture">
                <pic:pic>
                  <pic:nvPicPr>
                    <pic:cNvPr id="0" name="Captura de pantalla 2026-09-08 231452.png"/>
                    <pic:cNvPicPr/>
                  </pic:nvPicPr>
                  <pic:blipFill>
                    <a:blip r:embed="rId25"/>
                    <a:stretch>
                      <a:fillRect/>
                    </a:stretch>
                  </pic:blipFill>
                  <pic:spPr>
                    <a:xfrm>
                      <a:off x="0" y="0"/>
                      <a:ext cx="5715000" cy="3213385"/>
                    </a:xfrm>
                    <a:prstGeom prst="rect"/>
                  </pic:spPr>
                </pic:pic>
              </a:graphicData>
            </a:graphic>
          </wp:inline>
        </w:drawing>
      </w:r>
    </w:p>
    <w:p>
      <w:pPr>
        <w:pStyle w:val="Caption"/>
        <w:jc w:val="center"/>
      </w:pPr>
      <w:r>
        <w:t>Figura 15. Enumeración de rutas del servicio 8080 mediante Gobuster.</w:t>
      </w:r>
    </w:p>
    <w:tbl>
      <w:tblPr>
        <w:tblStyle w:val="TableGrid"/>
        <w:tblW w:type="dxa" w:w="9360"/>
        <w:tblLayout w:type="fixed"/>
        <w:tblLook w:firstColumn="1" w:firstRow="1" w:lastColumn="0" w:lastRow="0" w:noHBand="0" w:noVBand="1" w:val="04A0"/>
        <w:jc w:val="left"/>
        <w:tblInd w:w="120" w:type="dxa"/>
      </w:tblPr>
      <w:tblGrid>
        <w:gridCol w:w="1800"/>
        <w:gridCol w:w="1400"/>
        <w:gridCol w:w="6160"/>
      </w:tblGrid>
      <w:tr>
        <w:trPr>
          <w:tblHeader w:val="true"/>
        </w:trPr>
        <w:tc>
          <w:tcPr>
            <w:tcW w:type="dxa" w:w="18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Ruta</w:t>
            </w:r>
          </w:p>
        </w:tc>
        <w:tc>
          <w:tcPr>
            <w:tcW w:type="dxa" w:w="14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Código</w:t>
            </w:r>
          </w:p>
        </w:tc>
        <w:tc>
          <w:tcPr>
            <w:tcW w:type="dxa" w:w="616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Lectura preliminar</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/create</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200</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devuelve una página HTML para crear publicaciones.</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/login</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405</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no está permitido; OPTIONS declara POST y OPTIONS.</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/registration</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200</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devuelve JSON con el mensaje Wrong Method!!!.</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/run</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405</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no está permitido; OPTIONS declara POST y OPTIONS.</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/secret</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500</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provoca un error interno con respuesta JSON genérica.</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/test</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200</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devuelve el objeto JSON {"TestValue": 0}.</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8"/>
              </w:rPr>
              <w:t>/users</w:t>
            </w:r>
          </w:p>
        </w:tc>
        <w:tc>
          <w:tcPr>
            <w:tcW w:type="dxa" w:w="1400"/>
            <w:tcMar>
              <w:top w:w="80" w:type="dxa"/>
              <w:start w:w="120" w:type="dxa"/>
              <w:bottom w:w="80" w:type="dxa"/>
              <w:end w:w="120" w:type="dxa"/>
            </w:tcMar>
            <w:vAlign w:val="center"/>
          </w:tcPr>
          <w:p>
            <w:pPr>
              <w:spacing w:after="0"/>
              <w:jc w:val="center"/>
            </w:pPr>
            <w:r>
              <w:rPr>
                <w:rFonts w:ascii="Calibri" w:hAnsi="Calibri" w:eastAsia="Calibri"/>
                <w:color w:val="000000"/>
                <w:sz w:val="18"/>
              </w:rPr>
              <w:t>200</w:t>
            </w:r>
          </w:p>
        </w:tc>
        <w:tc>
          <w:tcPr>
            <w:tcW w:type="dxa" w:w="6160"/>
            <w:tcMar>
              <w:top w:w="80" w:type="dxa"/>
              <w:start w:w="120" w:type="dxa"/>
              <w:bottom w:w="80" w:type="dxa"/>
              <w:end w:w="120" w:type="dxa"/>
            </w:tcMar>
            <w:vAlign w:val="center"/>
          </w:tcPr>
          <w:p>
            <w:pPr>
              <w:spacing w:after="0"/>
              <w:jc w:val="left"/>
            </w:pPr>
            <w:r>
              <w:rPr>
                <w:rFonts w:ascii="Calibri" w:hAnsi="Calibri" w:eastAsia="Calibri"/>
                <w:color w:val="000000"/>
                <w:sz w:val="18"/>
              </w:rPr>
              <w:t>GET expone el usuario patrick y un hash de contraseña.</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D"/>
          </w:tcPr>
          <w:p>
            <w:pPr>
              <w:spacing w:after="0"/>
            </w:pPr>
            <w:r>
              <w:rPr>
                <w:rFonts w:ascii="Calibri" w:hAnsi="Calibri" w:eastAsia="Calibri"/>
                <w:b/>
                <w:color w:val="2E6B45"/>
                <w:sz w:val="21"/>
              </w:rPr>
              <w:t xml:space="preserve">Límite del avance: </w:t>
            </w:r>
            <w:r>
              <w:rPr>
                <w:rFonts w:ascii="Calibri" w:hAnsi="Calibri" w:eastAsia="Calibri"/>
                <w:color w:val="0B2545"/>
                <w:sz w:val="21"/>
              </w:rPr>
              <w:t>La enumeración automática concluyó y dio paso a una inspección no destructiva mediante GET y OPTIONS. No se enviaron credenciales, cuerpos POST, comandos a /run, cargas útiles ni intentos de explotación.</w:t>
            </w:r>
          </w:p>
        </w:tc>
      </w:tr>
    </w:tbl>
    <w:p>
      <w:pPr>
        <w:spacing w:after="40"/>
      </w:pPr>
    </w:p>
    <w:p>
      <w:r>
        <w:br w:type="page"/>
      </w:r>
    </w:p>
    <w:p>
      <w:pPr>
        <w:pStyle w:val="Heading1"/>
      </w:pPr>
      <w:r>
        <w:t>9. Análisis y validación de vulnerabilidades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eastAsia="Calibri"/>
                <w:b/>
                <w:color w:val="B37A00"/>
                <w:sz w:val="21"/>
              </w:rPr>
              <w:t xml:space="preserve">Estado: </w:t>
            </w:r>
            <w:r>
              <w:rPr>
                <w:rFonts w:ascii="Calibri" w:hAnsi="Calibri" w:eastAsia="Calibri"/>
                <w:color w:val="0B2545"/>
                <w:sz w:val="21"/>
              </w:rPr>
              <w:t>EN PROCESO. Se validaron respuestas y métodos HTTP sin enviar credenciales, comandos ni cargas útiles. La exposición observada en /users queda registrada como hallazgo preliminar; su impacto definitivo se evaluará antes de cualquier prueba de concepto.</w:t>
            </w:r>
          </w:p>
        </w:tc>
      </w:tr>
    </w:tbl>
    <w:p>
      <w:pPr>
        <w:spacing w:after="40"/>
      </w:pPr>
    </w:p>
    <w:p>
      <w:pPr>
        <w:pStyle w:val="Heading2"/>
      </w:pPr>
      <w:r>
        <w:t>9.1 Exposición de información en /users</w:t>
      </w:r>
    </w:p>
    <w:p>
      <w:r>
        <w:rPr>
          <w:rFonts w:ascii="Calibri" w:hAnsi="Calibri" w:eastAsia="Calibri"/>
          <w:i w:val="0"/>
          <w:color w:val="000000"/>
          <w:sz w:val="22"/>
        </w:rPr>
        <w:t>Una solicitud GET directa a /users obtuvo HTTP 200 y una respuesta JSON sin evidencia de autenticación previa. El contenido reveló el nombre de usuario patrick y un hash de contraseña con el esquema PBKDF2-SHA256 y 29,000 iteraciones. No se recuperó ni se afirma conocer la contraseña en texto claro.</w:t>
      </w:r>
    </w:p>
    <w:p>
      <w:pPr>
        <w:keepNext/>
        <w:spacing w:before="60" w:after="0"/>
        <w:jc w:val="center"/>
      </w:pPr>
      <w:r>
        <w:drawing>
          <wp:inline xmlns:a="http://schemas.openxmlformats.org/drawingml/2006/main" xmlns:pic="http://schemas.openxmlformats.org/drawingml/2006/picture">
            <wp:extent cx="5715000" cy="3213385"/>
            <wp:docPr id="16" name="Picture 16" descr="Terminal de Kali mostrando la respuesta JSON de users con el usuario patrick y un hash PBKDF2-SHA256, seguida de comprobaciones de registration y create."/>
            <wp:cNvGraphicFramePr>
              <a:graphicFrameLocks noChangeAspect="1"/>
            </wp:cNvGraphicFramePr>
            <a:graphic>
              <a:graphicData uri="http://schemas.openxmlformats.org/drawingml/2006/picture">
                <pic:pic>
                  <pic:nvPicPr>
                    <pic:cNvPr id="0" name="Captura de pantalla 2026-09-08 231517.png"/>
                    <pic:cNvPicPr/>
                  </pic:nvPicPr>
                  <pic:blipFill>
                    <a:blip r:embed="rId26"/>
                    <a:stretch>
                      <a:fillRect/>
                    </a:stretch>
                  </pic:blipFill>
                  <pic:spPr>
                    <a:xfrm>
                      <a:off x="0" y="0"/>
                      <a:ext cx="5715000" cy="3213385"/>
                    </a:xfrm>
                    <a:prstGeom prst="rect"/>
                  </pic:spPr>
                </pic:pic>
              </a:graphicData>
            </a:graphic>
          </wp:inline>
        </w:drawing>
      </w:r>
    </w:p>
    <w:p>
      <w:pPr>
        <w:pStyle w:val="Caption"/>
        <w:jc w:val="center"/>
      </w:pPr>
      <w:r>
        <w:t>Figura 16. Respuesta de /users y comprobaciones iniciales de /registration y /create.</w:t>
      </w:r>
    </w:p>
    <w:tbl>
      <w:tblPr>
        <w:tblStyle w:val="TableGrid"/>
        <w:tblW w:type="dxa" w:w="9360"/>
        <w:tblLayout w:type="fixed"/>
        <w:tblLook w:firstColumn="1" w:firstRow="1" w:lastColumn="0" w:lastRow="0" w:noHBand="0" w:noVBand="1" w:val="04A0"/>
        <w:jc w:val="left"/>
        <w:tblInd w:w="120" w:type="dxa"/>
      </w:tblPr>
      <w:tblGrid>
        <w:gridCol w:w="1800"/>
        <w:gridCol w:w="4360"/>
        <w:gridCol w:w="3200"/>
      </w:tblGrid>
      <w:tr>
        <w:trPr>
          <w:tblHeader w:val="true"/>
        </w:trPr>
        <w:tc>
          <w:tcPr>
            <w:tcW w:type="dxa" w:w="18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Aspecto</w:t>
            </w:r>
          </w:p>
        </w:tc>
        <w:tc>
          <w:tcPr>
            <w:tcW w:type="dxa" w:w="436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Evidencia observada</w:t>
            </w:r>
          </w:p>
        </w:tc>
        <w:tc>
          <w:tcPr>
            <w:tcW w:type="dxa" w:w="32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Valoración actual</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7"/>
              </w:rPr>
              <w:t>Acceso</w:t>
            </w:r>
          </w:p>
        </w:tc>
        <w:tc>
          <w:tcPr>
            <w:tcW w:type="dxa" w:w="4360"/>
            <w:tcMar>
              <w:top w:w="80" w:type="dxa"/>
              <w:start w:w="120" w:type="dxa"/>
              <w:bottom w:w="80" w:type="dxa"/>
              <w:end w:w="120" w:type="dxa"/>
            </w:tcMar>
            <w:vAlign w:val="center"/>
          </w:tcPr>
          <w:p>
            <w:pPr>
              <w:spacing w:after="0"/>
              <w:jc w:val="left"/>
            </w:pPr>
            <w:r>
              <w:rPr>
                <w:rFonts w:ascii="Calibri" w:hAnsi="Calibri" w:eastAsia="Calibri"/>
                <w:color w:val="000000"/>
                <w:sz w:val="17"/>
              </w:rPr>
              <w:t>GET /users respondió HTTP 200 sin token visible.</w:t>
            </w:r>
          </w:p>
        </w:tc>
        <w:tc>
          <w:tcPr>
            <w:tcW w:type="dxa" w:w="3200"/>
            <w:tcMar>
              <w:top w:w="80" w:type="dxa"/>
              <w:start w:w="120" w:type="dxa"/>
              <w:bottom w:w="80" w:type="dxa"/>
              <w:end w:w="120" w:type="dxa"/>
            </w:tcMar>
            <w:vAlign w:val="center"/>
          </w:tcPr>
          <w:p>
            <w:pPr>
              <w:spacing w:after="0"/>
              <w:jc w:val="left"/>
            </w:pPr>
            <w:r>
              <w:rPr>
                <w:rFonts w:ascii="Calibri" w:hAnsi="Calibri" w:eastAsia="Calibri"/>
                <w:color w:val="000000"/>
                <w:sz w:val="17"/>
              </w:rPr>
              <w:t>Exposición confirmada</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7"/>
              </w:rPr>
              <w:t>Datos</w:t>
            </w:r>
          </w:p>
        </w:tc>
        <w:tc>
          <w:tcPr>
            <w:tcW w:type="dxa" w:w="4360"/>
            <w:tcMar>
              <w:top w:w="80" w:type="dxa"/>
              <w:start w:w="120" w:type="dxa"/>
              <w:bottom w:w="80" w:type="dxa"/>
              <w:end w:w="120" w:type="dxa"/>
            </w:tcMar>
            <w:vAlign w:val="center"/>
          </w:tcPr>
          <w:p>
            <w:pPr>
              <w:spacing w:after="0"/>
              <w:jc w:val="left"/>
            </w:pPr>
            <w:r>
              <w:rPr>
                <w:rFonts w:ascii="Calibri" w:hAnsi="Calibri" w:eastAsia="Calibri"/>
                <w:color w:val="000000"/>
                <w:sz w:val="17"/>
              </w:rPr>
              <w:t>Usuario patrick y hash PBKDF2-SHA256.</w:t>
            </w:r>
          </w:p>
        </w:tc>
        <w:tc>
          <w:tcPr>
            <w:tcW w:type="dxa" w:w="3200"/>
            <w:tcMar>
              <w:top w:w="80" w:type="dxa"/>
              <w:start w:w="120" w:type="dxa"/>
              <w:bottom w:w="80" w:type="dxa"/>
              <w:end w:w="120" w:type="dxa"/>
            </w:tcMar>
            <w:vAlign w:val="center"/>
          </w:tcPr>
          <w:p>
            <w:pPr>
              <w:spacing w:after="0"/>
              <w:jc w:val="left"/>
            </w:pPr>
            <w:r>
              <w:rPr>
                <w:rFonts w:ascii="Calibri" w:hAnsi="Calibri" w:eastAsia="Calibri"/>
                <w:color w:val="000000"/>
                <w:sz w:val="17"/>
              </w:rPr>
              <w:t>Información sensible</w:t>
            </w:r>
          </w:p>
        </w:tc>
      </w:tr>
      <w:tr>
        <w:tc>
          <w:tcPr>
            <w:tcW w:type="dxa" w:w="1800"/>
            <w:tcMar>
              <w:top w:w="80" w:type="dxa"/>
              <w:start w:w="120" w:type="dxa"/>
              <w:bottom w:w="80" w:type="dxa"/>
              <w:end w:w="120" w:type="dxa"/>
            </w:tcMar>
            <w:vAlign w:val="center"/>
          </w:tcPr>
          <w:p>
            <w:pPr>
              <w:spacing w:after="0"/>
              <w:jc w:val="center"/>
            </w:pPr>
            <w:r>
              <w:rPr>
                <w:rFonts w:ascii="Calibri" w:hAnsi="Calibri" w:eastAsia="Calibri"/>
                <w:color w:val="000000"/>
                <w:sz w:val="17"/>
              </w:rPr>
              <w:t>Impacto</w:t>
            </w:r>
          </w:p>
        </w:tc>
        <w:tc>
          <w:tcPr>
            <w:tcW w:type="dxa" w:w="4360"/>
            <w:tcMar>
              <w:top w:w="80" w:type="dxa"/>
              <w:start w:w="120" w:type="dxa"/>
              <w:bottom w:w="80" w:type="dxa"/>
              <w:end w:w="120" w:type="dxa"/>
            </w:tcMar>
            <w:vAlign w:val="center"/>
          </w:tcPr>
          <w:p>
            <w:pPr>
              <w:spacing w:after="0"/>
              <w:jc w:val="left"/>
            </w:pPr>
            <w:r>
              <w:rPr>
                <w:rFonts w:ascii="Calibri" w:hAnsi="Calibri" w:eastAsia="Calibri"/>
                <w:color w:val="000000"/>
                <w:sz w:val="17"/>
              </w:rPr>
              <w:t>Facilita identificación de cuentas y auditoría offline del hash.</w:t>
            </w:r>
          </w:p>
        </w:tc>
        <w:tc>
          <w:tcPr>
            <w:tcW w:type="dxa" w:w="3200"/>
            <w:tcMar>
              <w:top w:w="80" w:type="dxa"/>
              <w:start w:w="120" w:type="dxa"/>
              <w:bottom w:w="80" w:type="dxa"/>
              <w:end w:w="120" w:type="dxa"/>
            </w:tcMar>
            <w:vAlign w:val="center"/>
          </w:tcPr>
          <w:p>
            <w:pPr>
              <w:spacing w:after="0"/>
              <w:jc w:val="left"/>
            </w:pPr>
            <w:r>
              <w:rPr>
                <w:rFonts w:ascii="Calibri" w:hAnsi="Calibri" w:eastAsia="Calibri"/>
                <w:color w:val="000000"/>
                <w:sz w:val="17"/>
              </w:rPr>
              <w:t>Medio, preliminar</w:t>
            </w:r>
          </w:p>
        </w:tc>
      </w:tr>
    </w:tbl>
    <w:p>
      <w:pPr>
        <w:spacing w:after="40"/>
      </w:pPr>
    </w:p>
    <w:p>
      <w:r>
        <w:rPr>
          <w:rFonts w:ascii="Calibri" w:hAnsi="Calibri" w:eastAsia="Calibri"/>
          <w:i w:val="0"/>
          <w:color w:val="000000"/>
          <w:sz w:val="22"/>
        </w:rPr>
        <w:t>La debilidad confirmada es la divulgación innecesaria de material de autenticación. Aunque PBKDF2-SHA256 protege mejor que almacenar contraseñas en texto claro, publicar el hash elimina una barrera de acceso y permite intentar una auditoría offline. La severidad se mantiene como preliminar hasta comprobar la fortaleza real de la contraseña y la relación del usuario con el servicio de inicio de sesión.</w:t>
      </w:r>
    </w:p>
    <w:p>
      <w:r>
        <w:br w:type="page"/>
      </w:r>
    </w:p>
    <w:p>
      <w:pPr>
        <w:pStyle w:val="Heading2"/>
      </w:pPr>
      <w:r>
        <w:t>9.2 Revisión de /create y /registration</w:t>
      </w:r>
    </w:p>
    <w:p>
      <w:r>
        <w:rPr>
          <w:rFonts w:ascii="Calibri" w:hAnsi="Calibri" w:eastAsia="Calibri"/>
          <w:i w:val="0"/>
          <w:color w:val="000000"/>
          <w:sz w:val="22"/>
        </w:rPr>
        <w:t>La ruta /create respondió HTTP 200 y entregó una página HTML titulada Create a New Post. El código visible incluye navegación hacia New Post, pero esta observación solo confirma que el formulario o vista se sirve mediante GET; no demuestra que un usuario no autenticado pueda guardar contenido.</w:t>
      </w:r>
    </w:p>
    <w:p>
      <w:pPr>
        <w:keepNext/>
        <w:spacing w:before="60" w:after="0"/>
        <w:jc w:val="center"/>
      </w:pPr>
      <w:r>
        <w:drawing>
          <wp:inline xmlns:a="http://schemas.openxmlformats.org/drawingml/2006/main" xmlns:pic="http://schemas.openxmlformats.org/drawingml/2006/picture">
            <wp:extent cx="5610593" cy="3154679"/>
            <wp:docPr id="17" name="Picture 17" descr="Terminal de Kali mostrando el código HTML de la página Create a New Post."/>
            <wp:cNvGraphicFramePr>
              <a:graphicFrameLocks noChangeAspect="1"/>
            </wp:cNvGraphicFramePr>
            <a:graphic>
              <a:graphicData uri="http://schemas.openxmlformats.org/drawingml/2006/picture">
                <pic:pic>
                  <pic:nvPicPr>
                    <pic:cNvPr id="0" name="Captura de pantalla 2026-09-08 231531.png"/>
                    <pic:cNvPicPr/>
                  </pic:nvPicPr>
                  <pic:blipFill>
                    <a:blip r:embed="rId27"/>
                    <a:stretch>
                      <a:fillRect/>
                    </a:stretch>
                  </pic:blipFill>
                  <pic:spPr>
                    <a:xfrm>
                      <a:off x="0" y="0"/>
                      <a:ext cx="5610593" cy="3154679"/>
                    </a:xfrm>
                    <a:prstGeom prst="rect"/>
                  </pic:spPr>
                </pic:pic>
              </a:graphicData>
            </a:graphic>
          </wp:inline>
        </w:drawing>
      </w:r>
    </w:p>
    <w:p>
      <w:pPr>
        <w:pStyle w:val="Caption"/>
        <w:jc w:val="center"/>
      </w:pPr>
      <w:r>
        <w:t>Figura 17. Código HTML entregado por la ruta /create mediante una solicitud GET.</w:t>
      </w:r>
    </w:p>
    <w:p>
      <w:r>
        <w:rPr>
          <w:rFonts w:ascii="Calibri" w:hAnsi="Calibri" w:eastAsia="Calibri"/>
          <w:i w:val="0"/>
          <w:color w:val="000000"/>
          <w:sz w:val="22"/>
        </w:rPr>
        <w:t>Por otra parte, /registration respondió HTTP 200 a GET, pero el cuerpo JSON indicó Wrong Method!!!. Existe una diferencia entre el código HTTP de transporte y el error comunicado por la aplicación; será necesario identificar el método y el formato esperado antes de evaluar controles de registro.</w:t>
      </w:r>
    </w:p>
    <w:p>
      <w:r>
        <w:br w:type="page"/>
      </w:r>
    </w:p>
    <w:p>
      <w:pPr>
        <w:pStyle w:val="Heading2"/>
      </w:pPr>
      <w:r>
        <w:t>9.3 Respuestas de /test y /secret</w:t>
      </w:r>
    </w:p>
    <w:p>
      <w:pPr>
        <w:keepNext/>
        <w:spacing w:before="60" w:after="0"/>
        <w:jc w:val="center"/>
      </w:pPr>
      <w:r>
        <w:drawing>
          <wp:inline xmlns:a="http://schemas.openxmlformats.org/drawingml/2006/main" xmlns:pic="http://schemas.openxmlformats.org/drawingml/2006/picture">
            <wp:extent cx="5285342" cy="2971800"/>
            <wp:docPr id="18" name="Picture 18" descr="Terminal de Kali mostrando HTTP 200 y TestValue 0 en test, además de HTTP 500 Internal Server Error en secret."/>
            <wp:cNvGraphicFramePr>
              <a:graphicFrameLocks noChangeAspect="1"/>
            </wp:cNvGraphicFramePr>
            <a:graphic>
              <a:graphicData uri="http://schemas.openxmlformats.org/drawingml/2006/picture">
                <pic:pic>
                  <pic:nvPicPr>
                    <pic:cNvPr id="0" name="Captura de pantalla 2026-09-08 231544.png"/>
                    <pic:cNvPicPr/>
                  </pic:nvPicPr>
                  <pic:blipFill>
                    <a:blip r:embed="rId28"/>
                    <a:stretch>
                      <a:fillRect/>
                    </a:stretch>
                  </pic:blipFill>
                  <pic:spPr>
                    <a:xfrm>
                      <a:off x="0" y="0"/>
                      <a:ext cx="5285342" cy="2971800"/>
                    </a:xfrm>
                    <a:prstGeom prst="rect"/>
                  </pic:spPr>
                </pic:pic>
              </a:graphicData>
            </a:graphic>
          </wp:inline>
        </w:drawing>
      </w:r>
    </w:p>
    <w:p>
      <w:pPr>
        <w:pStyle w:val="Caption"/>
        <w:jc w:val="center"/>
      </w:pPr>
      <w:r>
        <w:t>Figura 18. Respuestas obtenidas de los endpoints /test y /secret.</w:t>
      </w:r>
    </w:p>
    <w:tbl>
      <w:tblPr>
        <w:tblStyle w:val="TableGrid"/>
        <w:tblW w:type="dxa" w:w="9360"/>
        <w:tblLayout w:type="fixed"/>
        <w:tblLook w:firstColumn="1" w:firstRow="1" w:lastColumn="0" w:lastRow="0" w:noHBand="0" w:noVBand="1" w:val="04A0"/>
        <w:jc w:val="left"/>
        <w:tblInd w:w="120" w:type="dxa"/>
      </w:tblPr>
      <w:tblGrid>
        <w:gridCol w:w="1500"/>
        <w:gridCol w:w="2900"/>
        <w:gridCol w:w="4960"/>
      </w:tblGrid>
      <w:tr>
        <w:trPr>
          <w:tblHeader w:val="true"/>
        </w:trPr>
        <w:tc>
          <w:tcPr>
            <w:tcW w:type="dxa" w:w="15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Ruta</w:t>
            </w:r>
          </w:p>
        </w:tc>
        <w:tc>
          <w:tcPr>
            <w:tcW w:type="dxa" w:w="29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Respuesta</w:t>
            </w:r>
          </w:p>
        </w:tc>
        <w:tc>
          <w:tcPr>
            <w:tcW w:type="dxa" w:w="496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Interpretación responsable</w:t>
            </w:r>
          </w:p>
        </w:tc>
      </w:tr>
      <w:tr>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/test</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7"/>
              </w:rPr>
              <w:t>HTTP 200; JSON {"TestValue": 0}</w:t>
            </w:r>
          </w:p>
        </w:tc>
        <w:tc>
          <w:tcPr>
            <w:tcW w:type="dxa" w:w="4960"/>
            <w:tcMar>
              <w:top w:w="80" w:type="dxa"/>
              <w:start w:w="120" w:type="dxa"/>
              <w:bottom w:w="80" w:type="dxa"/>
              <w:end w:w="120" w:type="dxa"/>
            </w:tcMar>
            <w:vAlign w:val="center"/>
          </w:tcPr>
          <w:p>
            <w:pPr>
              <w:spacing w:after="0"/>
              <w:jc w:val="left"/>
            </w:pPr>
            <w:r>
              <w:rPr>
                <w:rFonts w:ascii="Calibri" w:hAnsi="Calibri" w:eastAsia="Calibri"/>
                <w:color w:val="000000"/>
                <w:sz w:val="17"/>
              </w:rPr>
              <w:t>Endpoint de prueba expuesto; impacto no demostrado.</w:t>
            </w:r>
          </w:p>
        </w:tc>
      </w:tr>
      <w:tr>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/secret</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7"/>
              </w:rPr>
              <w:t>HTTP 500; Internal Server Error</w:t>
            </w:r>
          </w:p>
        </w:tc>
        <w:tc>
          <w:tcPr>
            <w:tcW w:type="dxa" w:w="4960"/>
            <w:tcMar>
              <w:top w:w="80" w:type="dxa"/>
              <w:start w:w="120" w:type="dxa"/>
              <w:bottom w:w="80" w:type="dxa"/>
              <w:end w:w="120" w:type="dxa"/>
            </w:tcMar>
            <w:vAlign w:val="center"/>
          </w:tcPr>
          <w:p>
            <w:pPr>
              <w:spacing w:after="0"/>
              <w:jc w:val="left"/>
            </w:pPr>
            <w:r>
              <w:rPr>
                <w:rFonts w:ascii="Calibri" w:hAnsi="Calibri" w:eastAsia="Calibri"/>
                <w:color w:val="000000"/>
                <w:sz w:val="17"/>
              </w:rPr>
              <w:t>Comportamiento anómalo; el 500 aislado no prueba una vulnerabilidad.</w:t>
            </w:r>
          </w:p>
        </w:tc>
      </w:tr>
    </w:tbl>
    <w:p>
      <w:pPr>
        <w:spacing w:after="40"/>
      </w:pPr>
    </w:p>
    <w:p>
      <w:r>
        <w:br w:type="page"/>
      </w:r>
    </w:p>
    <w:p>
      <w:pPr>
        <w:pStyle w:val="Heading2"/>
      </w:pPr>
      <w:r>
        <w:t>9.4 Métodos permitidos en /login y /run</w:t>
      </w:r>
    </w:p>
    <w:p>
      <w:r>
        <w:rPr>
          <w:rFonts w:ascii="Calibri" w:hAnsi="Calibri" w:eastAsia="Calibri"/>
          <w:i w:val="0"/>
          <w:color w:val="000000"/>
          <w:sz w:val="22"/>
        </w:rPr>
        <w:t>Las solicitudes OPTIONS permitieron caracterizar ambos endpoints sin efectuar la operación principal. Tanto /login como /run devolvieron HTTP 200 y el encabezado Allow: POST, OPTIONS.</w:t>
      </w:r>
    </w:p>
    <w:p>
      <w:pPr>
        <w:keepNext/>
        <w:spacing w:before="60" w:after="0"/>
        <w:jc w:val="center"/>
      </w:pPr>
      <w:r>
        <w:drawing>
          <wp:inline xmlns:a="http://schemas.openxmlformats.org/drawingml/2006/main" xmlns:pic="http://schemas.openxmlformats.org/drawingml/2006/picture">
            <wp:extent cx="4817760" cy="2743199"/>
            <wp:docPr id="19" name="Picture 19" descr="Terminal de Kali mostrando que login y run permiten los métodos POST y OPTIONS."/>
            <wp:cNvGraphicFramePr>
              <a:graphicFrameLocks noChangeAspect="1"/>
            </wp:cNvGraphicFramePr>
            <a:graphic>
              <a:graphicData uri="http://schemas.openxmlformats.org/drawingml/2006/picture">
                <pic:pic>
                  <pic:nvPicPr>
                    <pic:cNvPr id="0" name="Captura de pantalla 2026-09-08 231554.png"/>
                    <pic:cNvPicPr/>
                  </pic:nvPicPr>
                  <pic:blipFill>
                    <a:blip r:embed="rId29"/>
                    <a:stretch>
                      <a:fillRect/>
                    </a:stretch>
                  </pic:blipFill>
                  <pic:spPr>
                    <a:xfrm>
                      <a:off x="0" y="0"/>
                      <a:ext cx="4817760" cy="2743199"/>
                    </a:xfrm>
                    <a:prstGeom prst="rect"/>
                  </pic:spPr>
                </pic:pic>
              </a:graphicData>
            </a:graphic>
          </wp:inline>
        </w:drawing>
      </w:r>
    </w:p>
    <w:p>
      <w:pPr>
        <w:pStyle w:val="Caption"/>
        <w:jc w:val="center"/>
      </w:pPr>
      <w:r>
        <w:t>Figura 19. Métodos HTTP declarados por /login y /run.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ED"/>
          </w:tcPr>
          <w:p>
            <w:pPr>
              <w:spacing w:after="0"/>
            </w:pPr>
            <w:r>
              <w:rPr>
                <w:rFonts w:ascii="Calibri" w:hAnsi="Calibri" w:eastAsia="Calibri"/>
                <w:b/>
                <w:color w:val="2E6B45"/>
                <w:sz w:val="21"/>
              </w:rPr>
              <w:t xml:space="preserve">Conclusión de la validación actual: </w:t>
            </w:r>
            <w:r>
              <w:rPr>
                <w:rFonts w:ascii="Calibri" w:hAnsi="Calibri" w:eastAsia="Calibri"/>
                <w:color w:val="0B2545"/>
                <w:sz w:val="21"/>
              </w:rPr>
              <w:t>Se confirmó la superficie de entrada, pero todavía no se conocen los campos requeridos, el mecanismo JWT ni las validaciones aplicadas. No se envió ningún cuerpo POST a /login, /registration, /create o /run.</w:t>
            </w:r>
          </w:p>
        </w:tc>
      </w:tr>
    </w:tbl>
    <w:p>
      <w:pPr>
        <w:spacing w:after="40"/>
      </w:pPr>
    </w:p>
    <w:p>
      <w:r>
        <w:br w:type="page"/>
      </w:r>
    </w:p>
    <w:p>
      <w:pPr>
        <w:pStyle w:val="Heading1"/>
      </w:pPr>
      <w:r>
        <w:t>10. Explotación controlada y acceso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eastAsia="Calibri"/>
                <w:b/>
                <w:color w:val="B37A00"/>
                <w:sz w:val="21"/>
              </w:rPr>
              <w:t xml:space="preserve">Estado: </w:t>
            </w:r>
            <w:r>
              <w:rPr>
                <w:rFonts w:ascii="Calibri" w:hAnsi="Calibri" w:eastAsia="Calibri"/>
                <w:color w:val="0B2545"/>
                <w:sz w:val="21"/>
              </w:rPr>
              <w:t>PENDIENTE. Antes de esta fase deberá conservarse una instantánea de la máquina y verificarse nuevamente que el objetivo sea 192.168.56.103 dentro de la red aislada.</w:t>
            </w:r>
          </w:p>
        </w:tc>
      </w:tr>
    </w:tbl>
    <w:p>
      <w:pPr>
        <w:spacing w:after="40"/>
      </w:pPr>
    </w:p>
    <w:p>
      <w:pPr>
        <w:pStyle w:val="Heading2"/>
      </w:pPr>
      <w:r>
        <w:t>10.1 Prueba de concepto seleccionada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20 - PENDIENTE</w:t>
            </w:r>
          </w:p>
          <w:p>
            <w:pPr>
              <w:spacing w:after="200"/>
              <w:jc w:val="center"/>
            </w:pPr>
            <w:r>
              <w:rPr>
                <w:rFonts w:ascii="Calibri" w:hAnsi="Calibri" w:eastAsia="Calibri"/>
                <w:i/>
                <w:color w:val="0B2545"/>
                <w:sz w:val="20"/>
              </w:rPr>
              <w:t>Insertar captura del comando o solicitud exacta utilizada para comprobar la vulnerabilidad seleccionada.</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Vulnerabilidad | Prerequisito | Comando/solicitud | Resultado esperado</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21 - PENDIENTE</w:t>
            </w:r>
          </w:p>
          <w:p>
            <w:pPr>
              <w:spacing w:after="200"/>
              <w:jc w:val="center"/>
            </w:pPr>
            <w:r>
              <w:rPr>
                <w:rFonts w:ascii="Calibri" w:hAnsi="Calibri" w:eastAsia="Calibri"/>
                <w:i/>
                <w:color w:val="0B2545"/>
                <w:sz w:val="20"/>
              </w:rPr>
              <w:t>Insertar captura de la respuesta que confirme o descarte la explotación. Evitar registrar como éxito una respuesta ambigua.</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Código de respuesta | Indicador de éxito | Alcance | Limitaciones</w:t>
            </w:r>
          </w:p>
        </w:tc>
      </w:tr>
    </w:tbl>
    <w:p>
      <w:pPr>
        <w:spacing w:after="40"/>
      </w:pPr>
    </w:p>
    <w:p>
      <w:pPr>
        <w:pStyle w:val="Heading2"/>
      </w:pPr>
      <w:r>
        <w:t>10.2 Acceso inicial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22 - PENDIENTE</w:t>
            </w:r>
          </w:p>
          <w:p>
            <w:pPr>
              <w:spacing w:after="200"/>
              <w:jc w:val="center"/>
            </w:pPr>
            <w:r>
              <w:rPr>
                <w:rFonts w:ascii="Calibri" w:hAnsi="Calibri" w:eastAsia="Calibri"/>
                <w:i/>
                <w:color w:val="0B2545"/>
                <w:sz w:val="20"/>
              </w:rPr>
              <w:t>Insertar evidencia del acceso inicial autorizado e identificar usuario, host y contexto de ejecución.</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Usuario | Hostname | UID/GID | Tipo de acceso</w:t>
            </w:r>
          </w:p>
        </w:tc>
      </w:tr>
    </w:tbl>
    <w:p>
      <w:pPr>
        <w:spacing w:after="40"/>
      </w:pPr>
    </w:p>
    <w:p>
      <w:r>
        <w:rPr>
          <w:rFonts w:ascii="Calibri" w:hAnsi="Calibri" w:eastAsia="Calibri"/>
          <w:i w:val="0"/>
          <w:color w:val="000000"/>
          <w:sz w:val="22"/>
        </w:rPr>
        <w:t>Narrativa pendiente: explicar la relación causal entre el hallazgo, la prueba de concepto y el acceso obtenido. Incluir el principio vulnerado y una mitigación inmediata.</w:t>
      </w:r>
    </w:p>
    <w:p>
      <w:r>
        <w:br w:type="page"/>
      </w:r>
    </w:p>
    <w:p>
      <w:pPr>
        <w:pStyle w:val="Heading1"/>
      </w:pPr>
      <w:r>
        <w:t>11. Post-explotación y escalamiento de privilegios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eastAsia="Calibri"/>
                <w:b/>
                <w:color w:val="B37A00"/>
                <w:sz w:val="21"/>
              </w:rPr>
              <w:t xml:space="preserve">Estado: </w:t>
            </w:r>
            <w:r>
              <w:rPr>
                <w:rFonts w:ascii="Calibri" w:hAnsi="Calibri" w:eastAsia="Calibri"/>
                <w:color w:val="0B2545"/>
                <w:sz w:val="21"/>
              </w:rPr>
              <w:t>PENDIENTE. La enumeración posterior deberá limitarse a la máquina Snakeoil y a la información necesaria para demostrar el objetivo académico.</w:t>
            </w:r>
          </w:p>
        </w:tc>
      </w:tr>
    </w:tbl>
    <w:p>
      <w:pPr>
        <w:spacing w:after="40"/>
      </w:pPr>
    </w:p>
    <w:p>
      <w:pPr>
        <w:pStyle w:val="Heading2"/>
      </w:pPr>
      <w:r>
        <w:t>11.1 Verificación del contexto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23 - PENDIENTE</w:t>
            </w:r>
          </w:p>
          <w:p>
            <w:pPr>
              <w:spacing w:after="200"/>
              <w:jc w:val="center"/>
            </w:pPr>
            <w:r>
              <w:rPr>
                <w:rFonts w:ascii="Calibri" w:hAnsi="Calibri" w:eastAsia="Calibri"/>
                <w:i/>
                <w:color w:val="0B2545"/>
                <w:sz w:val="20"/>
              </w:rPr>
              <w:t>Insertar captura legible de whoami, id, hostname y datos mínimos del sistema tras obtener acceso.</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Usuario inicial | Grupos | Sistema | Directorio de trabajo</w:t>
            </w:r>
          </w:p>
        </w:tc>
      </w:tr>
    </w:tbl>
    <w:p>
      <w:pPr>
        <w:spacing w:after="40"/>
      </w:pPr>
    </w:p>
    <w:p>
      <w:pPr>
        <w:pStyle w:val="Heading2"/>
      </w:pPr>
      <w:r>
        <w:t>11.2 Enumeración local y vector de escalamiento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24 - PENDIENTE</w:t>
            </w:r>
          </w:p>
          <w:p>
            <w:pPr>
              <w:spacing w:after="200"/>
              <w:jc w:val="center"/>
            </w:pPr>
            <w:r>
              <w:rPr>
                <w:rFonts w:ascii="Calibri" w:hAnsi="Calibri" w:eastAsia="Calibri"/>
                <w:i/>
                <w:color w:val="0B2545"/>
                <w:sz w:val="20"/>
              </w:rPr>
              <w:t>Insertar la evidencia que sustente el vector local seleccionado, explicando por qué representa un riesgo.</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Configuración vulnerable | Permisos | Prerequisitos | Impacto</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before="200" w:after="120"/>
              <w:jc w:val="center"/>
            </w:pPr>
            <w:r>
              <w:rPr>
                <w:rFonts w:ascii="Calibri" w:hAnsi="Calibri" w:eastAsia="Calibri"/>
                <w:b/>
                <w:color w:val="B37A00"/>
                <w:sz w:val="22"/>
              </w:rPr>
              <w:t>FIGURA 25 - PENDIENTE</w:t>
            </w:r>
          </w:p>
          <w:p>
            <w:pPr>
              <w:spacing w:after="200"/>
              <w:jc w:val="center"/>
            </w:pPr>
            <w:r>
              <w:rPr>
                <w:rFonts w:ascii="Calibri" w:hAnsi="Calibri" w:eastAsia="Calibri"/>
                <w:i/>
                <w:color w:val="0B2545"/>
                <w:sz w:val="20"/>
              </w:rPr>
              <w:t>Insertar captura final que demuestre el privilegio administrativo y, si aplica, la bandera del reto.</w:t>
            </w:r>
          </w:p>
          <w:p>
            <w:pPr>
              <w:spacing w:after="160"/>
            </w:pPr>
            <w:r>
              <w:rPr>
                <w:rFonts w:ascii="Calibri" w:hAnsi="Calibri" w:eastAsia="Calibri"/>
                <w:b/>
                <w:color w:val="59636E"/>
                <w:sz w:val="19"/>
              </w:rPr>
              <w:t xml:space="preserve">Completar después: </w:t>
            </w:r>
            <w:r>
              <w:rPr>
                <w:rFonts w:ascii="Calibri" w:hAnsi="Calibri" w:eastAsia="Calibri"/>
                <w:color w:val="59636E"/>
                <w:sz w:val="19"/>
              </w:rPr>
              <w:t>Usuario final | Prueba de privilegio | Bandera | Fecha/hora</w:t>
            </w:r>
          </w:p>
        </w:tc>
      </w:tr>
    </w:tbl>
    <w:p>
      <w:pPr>
        <w:spacing w:after="40"/>
      </w:pPr>
    </w:p>
    <w:p>
      <w:r>
        <w:rPr>
          <w:rFonts w:ascii="Calibri" w:hAnsi="Calibri" w:eastAsia="Calibri"/>
          <w:i w:val="0"/>
          <w:color w:val="000000"/>
          <w:sz w:val="22"/>
        </w:rPr>
        <w:t>Cierre pendiente: registrar los cambios efectuados, restaurar la instantánea original si es necesario y confirmar que ninguna máquina vulnerable quede conectada a una red externa.</w:t>
      </w:r>
    </w:p>
    <w:p>
      <w:r>
        <w:br w:type="page"/>
      </w:r>
    </w:p>
    <w:p>
      <w:pPr>
        <w:pStyle w:val="Heading1"/>
      </w:pPr>
      <w:r>
        <w:t>12. Explicación integral, riesgos y mitigación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0"/>
            </w:pPr>
            <w:r>
              <w:rPr>
                <w:rFonts w:ascii="Calibri" w:hAnsi="Calibri" w:eastAsia="Calibri"/>
                <w:b/>
                <w:color w:val="B37A00"/>
                <w:sz w:val="21"/>
              </w:rPr>
              <w:t xml:space="preserve">Estado: </w:t>
            </w:r>
            <w:r>
              <w:rPr>
                <w:rFonts w:ascii="Calibri" w:hAnsi="Calibri" w:eastAsia="Calibri"/>
                <w:color w:val="0B2545"/>
                <w:sz w:val="21"/>
              </w:rPr>
              <w:t>PENDIENTE DE LOS RESULTADOS FINALES. Esta sección convertirá la secuencia técnica en una explicación comprensible, reproducible y orientada a defensa.</w:t>
            </w:r>
          </w:p>
        </w:tc>
      </w:tr>
    </w:tbl>
    <w:p>
      <w:pPr>
        <w:spacing w:after="40"/>
      </w:pPr>
    </w:p>
    <w:p>
      <w:pPr>
        <w:pStyle w:val="Heading2"/>
      </w:pPr>
      <w:r>
        <w:t>12.1 Cadena completa del ataque</w:t>
      </w:r>
    </w:p>
    <w:tbl>
      <w:tblPr>
        <w:tblStyle w:val="TableGrid"/>
        <w:tblW w:type="dxa" w:w="9360"/>
        <w:tblLayout w:type="fixed"/>
        <w:tblLook w:firstColumn="1" w:firstRow="1" w:lastColumn="0" w:lastRow="0" w:noHBand="0" w:noVBand="1" w:val="04A0"/>
        <w:jc w:val="left"/>
        <w:tblInd w:w="120" w:type="dxa"/>
      </w:tblPr>
      <w:tblGrid>
        <w:gridCol w:w="1900"/>
        <w:gridCol w:w="2600"/>
        <w:gridCol w:w="1960"/>
        <w:gridCol w:w="2900"/>
      </w:tblGrid>
      <w:tr>
        <w:trPr>
          <w:tblHeader w:val="true"/>
        </w:trPr>
        <w:tc>
          <w:tcPr>
            <w:tcW w:type="dxa" w:w="19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Etapa</w:t>
            </w:r>
          </w:p>
        </w:tc>
        <w:tc>
          <w:tcPr>
            <w:tcW w:type="dxa" w:w="26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Entrada/evidencia</w:t>
            </w:r>
          </w:p>
        </w:tc>
        <w:tc>
          <w:tcPr>
            <w:tcW w:type="dxa" w:w="196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Resultado</w:t>
            </w:r>
          </w:p>
        </w:tc>
        <w:tc>
          <w:tcPr>
            <w:tcW w:type="dxa" w:w="2900"/>
            <w:tcMar>
              <w:top w:w="80" w:type="dxa"/>
              <w:start w:w="120" w:type="dxa"/>
              <w:bottom w:w="80" w:type="dxa"/>
              <w:end w:w="120" w:type="dxa"/>
            </w:tcMar>
            <w:vAlign w:val="center"/>
            <w:shd w:fill="F2F4F7"/>
          </w:tcPr>
          <w:p>
            <w:pPr>
              <w:spacing w:after="0"/>
              <w:jc w:val="center"/>
            </w:pPr>
            <w:r>
              <w:rPr>
                <w:rFonts w:ascii="Calibri" w:hAnsi="Calibri" w:eastAsia="Calibri"/>
                <w:b/>
                <w:color w:val="0B2545"/>
                <w:sz w:val="18"/>
              </w:rPr>
              <w:t>Control defensivo</w:t>
            </w:r>
          </w:p>
        </w:tc>
      </w:tr>
      <w:tr>
        <w:tc>
          <w:tcPr>
            <w:tcW w:type="dxa" w:w="1900"/>
            <w:tcMar>
              <w:top w:w="80" w:type="dxa"/>
              <w:start w:w="120" w:type="dxa"/>
              <w:bottom w:w="80" w:type="dxa"/>
              <w:end w:w="120" w:type="dxa"/>
            </w:tcMar>
            <w:vAlign w:val="center"/>
          </w:tcPr>
          <w:p>
            <w:pPr>
              <w:spacing w:after="0"/>
              <w:jc w:val="center"/>
            </w:pPr>
            <w:r>
              <w:rPr>
                <w:rFonts w:ascii="Calibri" w:hAnsi="Calibri" w:eastAsia="Calibri"/>
                <w:color w:val="000000"/>
                <w:sz w:val="18"/>
              </w:rPr>
              <w:t>Reconocimiento</w:t>
            </w:r>
          </w:p>
        </w:tc>
        <w:tc>
          <w:tcPr>
            <w:tcW w:type="dxa" w:w="2600"/>
            <w:tcMar>
              <w:top w:w="80" w:type="dxa"/>
              <w:start w:w="120" w:type="dxa"/>
              <w:bottom w:w="80" w:type="dxa"/>
              <w:end w:w="120" w:type="dxa"/>
            </w:tcMar>
            <w:vAlign w:val="center"/>
          </w:tcPr>
          <w:p>
            <w:pPr>
              <w:spacing w:after="0"/>
              <w:jc w:val="left"/>
            </w:pPr>
            <w:r>
              <w:rPr>
                <w:rFonts w:ascii="Calibri" w:hAnsi="Calibri" w:eastAsia="Calibri"/>
                <w:color w:val="000000"/>
                <w:sz w:val="18"/>
              </w:rPr>
              <w:t>IP, puertos y servicios</w:t>
            </w:r>
          </w:p>
        </w:tc>
        <w:tc>
          <w:tcPr>
            <w:tcW w:type="dxa" w:w="1960"/>
            <w:tcMar>
              <w:top w:w="80" w:type="dxa"/>
              <w:start w:w="120" w:type="dxa"/>
              <w:bottom w:w="80" w:type="dxa"/>
              <w:end w:w="120" w:type="dxa"/>
            </w:tcMar>
            <w:vAlign w:val="center"/>
          </w:tcPr>
          <w:p>
            <w:pPr>
              <w:spacing w:after="0"/>
              <w:jc w:val="left"/>
            </w:pPr>
            <w:r>
              <w:rPr>
                <w:rFonts w:ascii="Calibri" w:hAnsi="Calibri" w:eastAsia="Calibri"/>
                <w:color w:val="000000"/>
                <w:sz w:val="18"/>
              </w:rPr>
              <w:t>192.168.56.103; TCP 22, 80 y 8080</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8"/>
              </w:rPr>
              <w:t>Segmentación y mínima exposición</w:t>
            </w:r>
          </w:p>
        </w:tc>
      </w:tr>
      <w:tr>
        <w:tc>
          <w:tcPr>
            <w:tcW w:type="dxa" w:w="1900"/>
            <w:tcMar>
              <w:top w:w="80" w:type="dxa"/>
              <w:start w:w="120" w:type="dxa"/>
              <w:bottom w:w="80" w:type="dxa"/>
              <w:end w:w="120" w:type="dxa"/>
            </w:tcMar>
            <w:vAlign w:val="center"/>
          </w:tcPr>
          <w:p>
            <w:pPr>
              <w:spacing w:after="0"/>
              <w:jc w:val="center"/>
            </w:pPr>
            <w:r>
              <w:rPr>
                <w:rFonts w:ascii="Calibri" w:hAnsi="Calibri" w:eastAsia="Calibri"/>
                <w:color w:val="000000"/>
                <w:sz w:val="18"/>
              </w:rPr>
              <w:t>Enumeración</w:t>
            </w:r>
          </w:p>
        </w:tc>
        <w:tc>
          <w:tcPr>
            <w:tcW w:type="dxa" w:w="2600"/>
            <w:tcMar>
              <w:top w:w="80" w:type="dxa"/>
              <w:start w:w="120" w:type="dxa"/>
              <w:bottom w:w="80" w:type="dxa"/>
              <w:end w:w="120" w:type="dxa"/>
            </w:tcMar>
            <w:vAlign w:val="center"/>
          </w:tcPr>
          <w:p>
            <w:pPr>
              <w:spacing w:after="0"/>
              <w:jc w:val="left"/>
            </w:pPr>
            <w:r>
              <w:rPr>
                <w:rFonts w:ascii="Calibri" w:hAnsi="Calibri" w:eastAsia="Calibri"/>
                <w:color w:val="000000"/>
                <w:sz w:val="18"/>
              </w:rPr>
              <w:t>Rutas, respuestas y métodos</w:t>
            </w:r>
          </w:p>
        </w:tc>
        <w:tc>
          <w:tcPr>
            <w:tcW w:type="dxa" w:w="1960"/>
            <w:tcMar>
              <w:top w:w="80" w:type="dxa"/>
              <w:start w:w="120" w:type="dxa"/>
              <w:bottom w:w="80" w:type="dxa"/>
              <w:end w:w="120" w:type="dxa"/>
            </w:tcMar>
            <w:vAlign w:val="center"/>
          </w:tcPr>
          <w:p>
            <w:pPr>
              <w:spacing w:after="0"/>
              <w:jc w:val="left"/>
            </w:pPr>
            <w:r>
              <w:rPr>
                <w:rFonts w:ascii="Calibri" w:hAnsi="Calibri" w:eastAsia="Calibri"/>
                <w:color w:val="000000"/>
                <w:sz w:val="18"/>
              </w:rPr>
              <w:t>Usuario/hash expuestos; POST identificado</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8"/>
              </w:rPr>
              <w:t>Control de acceso y manejo de errores</w:t>
            </w:r>
          </w:p>
        </w:tc>
      </w:tr>
      <w:tr>
        <w:tc>
          <w:tcPr>
            <w:tcW w:type="dxa" w:w="1900"/>
            <w:tcMar>
              <w:top w:w="80" w:type="dxa"/>
              <w:start w:w="120" w:type="dxa"/>
              <w:bottom w:w="80" w:type="dxa"/>
              <w:end w:w="120" w:type="dxa"/>
            </w:tcMar>
            <w:vAlign w:val="center"/>
          </w:tcPr>
          <w:p>
            <w:pPr>
              <w:spacing w:after="0"/>
              <w:jc w:val="center"/>
            </w:pPr>
            <w:r>
              <w:rPr>
                <w:rFonts w:ascii="Calibri" w:hAnsi="Calibri" w:eastAsia="Calibri"/>
                <w:color w:val="000000"/>
                <w:sz w:val="18"/>
              </w:rPr>
              <w:t>Explotación</w:t>
            </w:r>
          </w:p>
        </w:tc>
        <w:tc>
          <w:tcPr>
            <w:tcW w:type="dxa" w:w="2600"/>
            <w:tcMar>
              <w:top w:w="80" w:type="dxa"/>
              <w:start w:w="120" w:type="dxa"/>
              <w:bottom w:w="80" w:type="dxa"/>
              <w:end w:w="120" w:type="dxa"/>
            </w:tcMar>
            <w:vAlign w:val="center"/>
          </w:tcPr>
          <w:p>
            <w:pPr>
              <w:spacing w:after="0"/>
              <w:jc w:val="left"/>
            </w:pPr>
            <w:r>
              <w:rPr>
                <w:rFonts w:ascii="Calibri" w:hAnsi="Calibri" w:eastAsia="Calibri"/>
                <w:color w:val="000000"/>
                <w:sz w:val="18"/>
              </w:rPr>
              <w:t>Vulnerabilidad confirmada</w:t>
            </w:r>
          </w:p>
        </w:tc>
        <w:tc>
          <w:tcPr>
            <w:tcW w:type="dxa" w:w="1960"/>
            <w:tcMar>
              <w:top w:w="80" w:type="dxa"/>
              <w:start w:w="120" w:type="dxa"/>
              <w:bottom w:w="80" w:type="dxa"/>
              <w:end w:w="120" w:type="dxa"/>
            </w:tcMar>
            <w:vAlign w:val="center"/>
          </w:tcPr>
          <w:p>
            <w:pPr>
              <w:spacing w:after="0"/>
              <w:jc w:val="center"/>
            </w:pPr>
            <w:r>
              <w:rPr>
                <w:rFonts w:ascii="Calibri" w:hAnsi="Calibri" w:eastAsia="Calibri"/>
                <w:color w:val="000000"/>
                <w:sz w:val="18"/>
              </w:rPr>
              <w:t>PENDIENTE</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8"/>
              </w:rPr>
              <w:t>Validación de entradas y configuración segura</w:t>
            </w:r>
          </w:p>
        </w:tc>
      </w:tr>
      <w:tr>
        <w:tc>
          <w:tcPr>
            <w:tcW w:type="dxa" w:w="1900"/>
            <w:tcMar>
              <w:top w:w="80" w:type="dxa"/>
              <w:start w:w="120" w:type="dxa"/>
              <w:bottom w:w="80" w:type="dxa"/>
              <w:end w:w="120" w:type="dxa"/>
            </w:tcMar>
            <w:vAlign w:val="center"/>
          </w:tcPr>
          <w:p>
            <w:pPr>
              <w:spacing w:after="0"/>
              <w:jc w:val="center"/>
            </w:pPr>
            <w:r>
              <w:rPr>
                <w:rFonts w:ascii="Calibri" w:hAnsi="Calibri" w:eastAsia="Calibri"/>
                <w:color w:val="000000"/>
                <w:sz w:val="18"/>
              </w:rPr>
              <w:t>Escalamiento</w:t>
            </w:r>
          </w:p>
        </w:tc>
        <w:tc>
          <w:tcPr>
            <w:tcW w:type="dxa" w:w="2600"/>
            <w:tcMar>
              <w:top w:w="80" w:type="dxa"/>
              <w:start w:w="120" w:type="dxa"/>
              <w:bottom w:w="80" w:type="dxa"/>
              <w:end w:w="120" w:type="dxa"/>
            </w:tcMar>
            <w:vAlign w:val="center"/>
          </w:tcPr>
          <w:p>
            <w:pPr>
              <w:spacing w:after="0"/>
              <w:jc w:val="left"/>
            </w:pPr>
            <w:r>
              <w:rPr>
                <w:rFonts w:ascii="Calibri" w:hAnsi="Calibri" w:eastAsia="Calibri"/>
                <w:color w:val="000000"/>
                <w:sz w:val="18"/>
              </w:rPr>
              <w:t>Vector local confirmado</w:t>
            </w:r>
          </w:p>
        </w:tc>
        <w:tc>
          <w:tcPr>
            <w:tcW w:type="dxa" w:w="1960"/>
            <w:tcMar>
              <w:top w:w="80" w:type="dxa"/>
              <w:start w:w="120" w:type="dxa"/>
              <w:bottom w:w="80" w:type="dxa"/>
              <w:end w:w="120" w:type="dxa"/>
            </w:tcMar>
            <w:vAlign w:val="center"/>
          </w:tcPr>
          <w:p>
            <w:pPr>
              <w:spacing w:after="0"/>
              <w:jc w:val="center"/>
            </w:pPr>
            <w:r>
              <w:rPr>
                <w:rFonts w:ascii="Calibri" w:hAnsi="Calibri" w:eastAsia="Calibri"/>
                <w:color w:val="000000"/>
                <w:sz w:val="18"/>
              </w:rPr>
              <w:t>PENDIENTE</w:t>
            </w:r>
          </w:p>
        </w:tc>
        <w:tc>
          <w:tcPr>
            <w:tcW w:type="dxa" w:w="2900"/>
            <w:tcMar>
              <w:top w:w="80" w:type="dxa"/>
              <w:start w:w="120" w:type="dxa"/>
              <w:bottom w:w="80" w:type="dxa"/>
              <w:end w:w="120" w:type="dxa"/>
            </w:tcMar>
            <w:vAlign w:val="center"/>
          </w:tcPr>
          <w:p>
            <w:pPr>
              <w:spacing w:after="0"/>
              <w:jc w:val="left"/>
            </w:pPr>
            <w:r>
              <w:rPr>
                <w:rFonts w:ascii="Calibri" w:hAnsi="Calibri" w:eastAsia="Calibri"/>
                <w:color w:val="000000"/>
                <w:sz w:val="18"/>
              </w:rPr>
              <w:t>Mínimo privilegio y permisos seguros</w:t>
            </w:r>
          </w:p>
        </w:tc>
      </w:tr>
    </w:tbl>
    <w:p>
      <w:pPr>
        <w:spacing w:after="40"/>
      </w:pPr>
    </w:p>
    <w:p>
      <w:pPr>
        <w:pStyle w:val="Heading2"/>
      </w:pPr>
      <w:r>
        <w:t>12.2 Matriz final de hallazgos</w:t>
      </w:r>
    </w:p>
    <w:tbl>
      <w:tblPr>
        <w:tblStyle w:val="TableGrid"/>
        <w:tblW w:type="dxa" w:w="9360"/>
        <w:tblLayout w:type="fixed"/>
        <w:tblLook w:firstColumn="1" w:firstRow="1" w:lastColumn="0" w:lastRow="0" w:noHBand="0" w:noVBand="1" w:val="04A0"/>
        <w:jc w:val="left"/>
        <w:tblInd w:w="120" w:type="dxa"/>
      </w:tblPr>
      <w:tblGrid>
        <w:gridCol w:w="800"/>
        <w:gridCol w:w="2280"/>
        <w:gridCol w:w="1500"/>
        <w:gridCol w:w="1500"/>
        <w:gridCol w:w="3280"/>
      </w:tblGrid>
      <w:tr>
        <w:trPr>
          <w:tblHeader w:val="true"/>
        </w:trPr>
        <w:tc>
          <w:tcPr>
            <w:tcW w:type="dxa" w:w="8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ID</w:t>
            </w:r>
          </w:p>
        </w:tc>
        <w:tc>
          <w:tcPr>
            <w:tcW w:type="dxa" w:w="228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Hallazgo</w:t>
            </w:r>
          </w:p>
        </w:tc>
        <w:tc>
          <w:tcPr>
            <w:tcW w:type="dxa" w:w="15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Evidencia</w:t>
            </w:r>
          </w:p>
        </w:tc>
        <w:tc>
          <w:tcPr>
            <w:tcW w:type="dxa" w:w="15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Severidad</w:t>
            </w:r>
          </w:p>
        </w:tc>
        <w:tc>
          <w:tcPr>
            <w:tcW w:type="dxa" w:w="328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Recomendación</w:t>
            </w:r>
          </w:p>
        </w:tc>
      </w:tr>
      <w:tr>
        <w:tc>
          <w:tcPr>
            <w:tcW w:type="dxa" w:w="800"/>
            <w:tcMar>
              <w:top w:w="80" w:type="dxa"/>
              <w:start w:w="120" w:type="dxa"/>
              <w:bottom w:w="80" w:type="dxa"/>
              <w:end w:w="120" w:type="dxa"/>
            </w:tcMar>
            <w:vAlign w:val="center"/>
          </w:tcPr>
          <w:p>
            <w:pPr>
              <w:spacing w:after="0"/>
              <w:jc w:val="center"/>
            </w:pPr>
            <w:r>
              <w:rPr>
                <w:rFonts w:ascii="Calibri" w:hAnsi="Calibri" w:eastAsia="Calibri"/>
                <w:color w:val="000000"/>
                <w:sz w:val="17"/>
              </w:rPr>
              <w:t>F-01</w:t>
            </w:r>
          </w:p>
        </w:tc>
        <w:tc>
          <w:tcPr>
            <w:tcW w:type="dxa" w:w="2280"/>
            <w:tcMar>
              <w:top w:w="80" w:type="dxa"/>
              <w:start w:w="120" w:type="dxa"/>
              <w:bottom w:w="80" w:type="dxa"/>
              <w:end w:w="120" w:type="dxa"/>
            </w:tcMar>
            <w:vAlign w:val="center"/>
          </w:tcPr>
          <w:p>
            <w:pPr>
              <w:spacing w:after="0"/>
              <w:jc w:val="left"/>
            </w:pPr>
            <w:r>
              <w:rPr>
                <w:rFonts w:ascii="Calibri" w:hAnsi="Calibri" w:eastAsia="Calibri"/>
                <w:color w:val="000000"/>
                <w:sz w:val="17"/>
              </w:rPr>
              <w:t>Exposición de usuario y hash en /users</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Figura 16</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Media (preliminar)</w:t>
            </w:r>
          </w:p>
        </w:tc>
        <w:tc>
          <w:tcPr>
            <w:tcW w:type="dxa" w:w="3280"/>
            <w:tcMar>
              <w:top w:w="80" w:type="dxa"/>
              <w:start w:w="120" w:type="dxa"/>
              <w:bottom w:w="80" w:type="dxa"/>
              <w:end w:w="120" w:type="dxa"/>
            </w:tcMar>
            <w:vAlign w:val="center"/>
          </w:tcPr>
          <w:p>
            <w:pPr>
              <w:spacing w:after="0"/>
              <w:jc w:val="left"/>
            </w:pPr>
            <w:r>
              <w:rPr>
                <w:rFonts w:ascii="Calibri" w:hAnsi="Calibri" w:eastAsia="Calibri"/>
                <w:color w:val="000000"/>
                <w:sz w:val="17"/>
              </w:rPr>
              <w:t>Exigir autenticación y omitir hashes de las respuestas</w:t>
            </w:r>
          </w:p>
        </w:tc>
      </w:tr>
      <w:tr>
        <w:tc>
          <w:tcPr>
            <w:tcW w:type="dxa" w:w="800"/>
            <w:tcMar>
              <w:top w:w="80" w:type="dxa"/>
              <w:start w:w="120" w:type="dxa"/>
              <w:bottom w:w="80" w:type="dxa"/>
              <w:end w:w="120" w:type="dxa"/>
            </w:tcMar>
            <w:vAlign w:val="center"/>
          </w:tcPr>
          <w:p>
            <w:pPr>
              <w:spacing w:after="0"/>
              <w:jc w:val="center"/>
            </w:pPr>
            <w:r>
              <w:rPr>
                <w:rFonts w:ascii="Calibri" w:hAnsi="Calibri" w:eastAsia="Calibri"/>
                <w:color w:val="000000"/>
                <w:sz w:val="17"/>
              </w:rPr>
              <w:t>F-02</w:t>
            </w:r>
          </w:p>
        </w:tc>
        <w:tc>
          <w:tcPr>
            <w:tcW w:type="dxa" w:w="2280"/>
            <w:tcMar>
              <w:top w:w="80" w:type="dxa"/>
              <w:start w:w="120" w:type="dxa"/>
              <w:bottom w:w="80" w:type="dxa"/>
              <w:end w:w="120" w:type="dxa"/>
            </w:tcMar>
            <w:vAlign w:val="center"/>
          </w:tcPr>
          <w:p>
            <w:pPr>
              <w:spacing w:after="0"/>
              <w:jc w:val="left"/>
            </w:pPr>
            <w:r>
              <w:rPr>
                <w:rFonts w:ascii="Calibri" w:hAnsi="Calibri" w:eastAsia="Calibri"/>
                <w:color w:val="000000"/>
                <w:sz w:val="17"/>
              </w:rPr>
              <w:t>Error interno reproducible en /secret</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Figura 18</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Por evaluar</w:t>
            </w:r>
          </w:p>
        </w:tc>
        <w:tc>
          <w:tcPr>
            <w:tcW w:type="dxa" w:w="3280"/>
            <w:tcMar>
              <w:top w:w="80" w:type="dxa"/>
              <w:start w:w="120" w:type="dxa"/>
              <w:bottom w:w="80" w:type="dxa"/>
              <w:end w:w="120" w:type="dxa"/>
            </w:tcMar>
            <w:vAlign w:val="center"/>
          </w:tcPr>
          <w:p>
            <w:pPr>
              <w:spacing w:after="0"/>
              <w:jc w:val="left"/>
            </w:pPr>
            <w:r>
              <w:rPr>
                <w:rFonts w:ascii="Calibri" w:hAnsi="Calibri" w:eastAsia="Calibri"/>
                <w:color w:val="000000"/>
                <w:sz w:val="17"/>
              </w:rPr>
              <w:t>Controlar excepciones y registrar el detalle solo en el servidor</w:t>
            </w:r>
          </w:p>
        </w:tc>
      </w:tr>
      <w:tr>
        <w:tc>
          <w:tcPr>
            <w:tcW w:type="dxa" w:w="800"/>
            <w:tcMar>
              <w:top w:w="80" w:type="dxa"/>
              <w:start w:w="120" w:type="dxa"/>
              <w:bottom w:w="80" w:type="dxa"/>
              <w:end w:w="120" w:type="dxa"/>
            </w:tcMar>
            <w:vAlign w:val="center"/>
          </w:tcPr>
          <w:p>
            <w:pPr>
              <w:spacing w:after="0"/>
              <w:jc w:val="center"/>
            </w:pPr>
            <w:r>
              <w:rPr>
                <w:rFonts w:ascii="Calibri" w:hAnsi="Calibri" w:eastAsia="Calibri"/>
                <w:color w:val="000000"/>
                <w:sz w:val="17"/>
              </w:rPr>
              <w:t>F-03</w:t>
            </w:r>
          </w:p>
        </w:tc>
        <w:tc>
          <w:tcPr>
            <w:tcW w:type="dxa" w:w="2280"/>
            <w:tcMar>
              <w:top w:w="80" w:type="dxa"/>
              <w:start w:w="120" w:type="dxa"/>
              <w:bottom w:w="80" w:type="dxa"/>
              <w:end w:w="120" w:type="dxa"/>
            </w:tcMar>
            <w:vAlign w:val="center"/>
          </w:tcPr>
          <w:p>
            <w:pPr>
              <w:spacing w:after="0"/>
              <w:jc w:val="center"/>
            </w:pPr>
            <w:r>
              <w:rPr>
                <w:rFonts w:ascii="Calibri" w:hAnsi="Calibri" w:eastAsia="Calibri"/>
                <w:color w:val="000000"/>
                <w:sz w:val="17"/>
              </w:rPr>
              <w:t>PENDIENTE</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Figura __</w:t>
            </w:r>
          </w:p>
        </w:tc>
        <w:tc>
          <w:tcPr>
            <w:tcW w:type="dxa" w:w="1500"/>
            <w:tcMar>
              <w:top w:w="80" w:type="dxa"/>
              <w:start w:w="120" w:type="dxa"/>
              <w:bottom w:w="80" w:type="dxa"/>
              <w:end w:w="120" w:type="dxa"/>
            </w:tcMar>
            <w:vAlign w:val="center"/>
          </w:tcPr>
          <w:p>
            <w:pPr>
              <w:spacing w:after="0"/>
              <w:jc w:val="center"/>
            </w:pPr>
            <w:r>
              <w:rPr>
                <w:rFonts w:ascii="Calibri" w:hAnsi="Calibri" w:eastAsia="Calibri"/>
                <w:color w:val="000000"/>
                <w:sz w:val="17"/>
              </w:rPr>
              <w:t>Por evaluar</w:t>
            </w:r>
          </w:p>
        </w:tc>
        <w:tc>
          <w:tcPr>
            <w:tcW w:type="dxa" w:w="3280"/>
            <w:tcMar>
              <w:top w:w="80" w:type="dxa"/>
              <w:start w:w="120" w:type="dxa"/>
              <w:bottom w:w="80" w:type="dxa"/>
              <w:end w:w="120" w:type="dxa"/>
            </w:tcMar>
            <w:vAlign w:val="center"/>
          </w:tcPr>
          <w:p>
            <w:pPr>
              <w:spacing w:after="0"/>
              <w:jc w:val="left"/>
            </w:pPr>
            <w:r>
              <w:rPr>
                <w:rFonts w:ascii="Calibri" w:hAnsi="Calibri" w:eastAsia="Calibri"/>
                <w:color w:val="000000"/>
                <w:sz w:val="17"/>
              </w:rPr>
              <w:t>Completar después de validar</w:t>
            </w:r>
          </w:p>
        </w:tc>
      </w:tr>
    </w:tbl>
    <w:p>
      <w:pPr>
        <w:spacing w:after="40"/>
      </w:pPr>
    </w:p>
    <w:p>
      <w:pPr>
        <w:pStyle w:val="Heading2"/>
      </w:pPr>
      <w:r>
        <w:t>12.3 Guion sugerido para el video</w:t>
      </w:r>
    </w:p>
    <w:p>
      <w:pPr>
        <w:numPr>
          <w:ilvl w:val="0"/>
          <w:numId w:val="12"/>
        </w:numPr>
        <w:spacing w:after="160" w:line="280" w:lineRule="auto"/>
      </w:pPr>
      <w:r>
        <w:rPr>
          <w:rFonts w:ascii="Calibri" w:hAnsi="Calibri" w:eastAsia="Calibri"/>
          <w:color w:val="000000"/>
          <w:sz w:val="22"/>
        </w:rPr>
        <w:t>Presentar el objetivo, el alcance autorizado y la topología aislada.</w:t>
      </w:r>
    </w:p>
    <w:p>
      <w:pPr>
        <w:numPr>
          <w:ilvl w:val="0"/>
          <w:numId w:val="12"/>
        </w:numPr>
        <w:spacing w:after="160" w:line="280" w:lineRule="auto"/>
      </w:pPr>
      <w:r>
        <w:rPr>
          <w:rFonts w:ascii="Calibri" w:hAnsi="Calibri" w:eastAsia="Calibri"/>
          <w:color w:val="000000"/>
          <w:sz w:val="22"/>
        </w:rPr>
        <w:t>Comenzar la demostración técnica en la fase 3 con la IP de Kali.</w:t>
      </w:r>
    </w:p>
    <w:p>
      <w:pPr>
        <w:numPr>
          <w:ilvl w:val="0"/>
          <w:numId w:val="12"/>
        </w:numPr>
        <w:spacing w:after="160" w:line="280" w:lineRule="auto"/>
      </w:pPr>
      <w:r>
        <w:rPr>
          <w:rFonts w:ascii="Calibri" w:hAnsi="Calibri" w:eastAsia="Calibri"/>
          <w:color w:val="000000"/>
          <w:sz w:val="22"/>
        </w:rPr>
        <w:t>Mostrar descubrimiento, escaneo y enumeración explicando cada parámetro.</w:t>
      </w:r>
    </w:p>
    <w:p>
      <w:pPr>
        <w:numPr>
          <w:ilvl w:val="0"/>
          <w:numId w:val="12"/>
        </w:numPr>
        <w:spacing w:after="160" w:line="280" w:lineRule="auto"/>
      </w:pPr>
      <w:r>
        <w:rPr>
          <w:rFonts w:ascii="Calibri" w:hAnsi="Calibri" w:eastAsia="Calibri"/>
          <w:color w:val="000000"/>
          <w:sz w:val="22"/>
        </w:rPr>
        <w:t>Demostrar únicamente los hallazgos confirmados y su impacto.</w:t>
      </w:r>
    </w:p>
    <w:p>
      <w:pPr>
        <w:numPr>
          <w:ilvl w:val="0"/>
          <w:numId w:val="12"/>
        </w:numPr>
        <w:spacing w:after="160" w:line="280" w:lineRule="auto"/>
      </w:pPr>
      <w:r>
        <w:rPr>
          <w:rFonts w:ascii="Calibri" w:hAnsi="Calibri" w:eastAsia="Calibri"/>
          <w:color w:val="000000"/>
          <w:sz w:val="22"/>
        </w:rPr>
        <w:t>Ejecutar la prueba de concepto, acceso inicial y escalamiento de forma reproducible.</w:t>
      </w:r>
    </w:p>
    <w:p>
      <w:pPr>
        <w:numPr>
          <w:ilvl w:val="0"/>
          <w:numId w:val="12"/>
        </w:numPr>
        <w:spacing w:after="160" w:line="280" w:lineRule="auto"/>
      </w:pPr>
      <w:r>
        <w:rPr>
          <w:rFonts w:ascii="Calibri" w:hAnsi="Calibri" w:eastAsia="Calibri"/>
          <w:color w:val="000000"/>
          <w:sz w:val="22"/>
        </w:rPr>
        <w:t>Cerrar con mitigaciones, aprendizaje obtenido y restauración segura del laboratorio.</w:t>
      </w:r>
    </w:p>
    <w:p>
      <w:r>
        <w:br w:type="page"/>
      </w:r>
    </w:p>
    <w:p>
      <w:pPr>
        <w:pStyle w:val="Heading1"/>
      </w:pPr>
      <w:r>
        <w:t>Conclusiones del avance actual</w:t>
      </w:r>
    </w:p>
    <w:p>
      <w:r>
        <w:rPr>
          <w:rFonts w:ascii="Calibri" w:hAnsi="Calibri" w:eastAsia="Calibri"/>
          <w:i w:val="0"/>
          <w:color w:val="000000"/>
          <w:sz w:val="22"/>
        </w:rPr>
        <w:t>El laboratorio quedó operativo y correctamente segmentado. Snakeoil fue localizada de forma inequívoca mediante su dirección MAC e IP, y el escaneo integral redujo la superficie inicial a tres servicios TCP. El puerto 8080 concentra la aplicación con mayor funcionalidad y produjo rutas adicionales durante la enumeración automática.</w:t>
      </w:r>
    </w:p>
    <w:p>
      <w:r>
        <w:rPr>
          <w:rFonts w:ascii="Calibri" w:hAnsi="Calibri" w:eastAsia="Calibri"/>
          <w:i w:val="0"/>
          <w:color w:val="000000"/>
          <w:sz w:val="22"/>
        </w:rPr>
        <w:t>La fase de validación confirmó que /users expone sin autenticación aparente el usuario patrick y un hash PBKDF2-SHA256, por lo que se registra una divulgación de información de severidad media preliminar. También se verificó que /login y /run aceptan POST y OPTIONS, que /test devuelve un valor de prueba y que /secret produce un error interno genérico. Todavía no se ha realizado autenticación, recuperación de contraseñas, ejecución de comandos, explotación ni acceso al sistema. El siguiente paso responsable es auditar el hash de forma offline dentro del laboratorio y caracterizar los formatos POST esperados antes de elegir una prueba de concepto.</w:t>
      </w:r>
    </w:p>
    <w:p>
      <w:pPr>
        <w:pStyle w:val="Heading2"/>
      </w:pPr>
      <w:r>
        <w:t>Registro de comandos ejecutados</w:t>
      </w:r>
    </w:p>
    <w:tbl>
      <w:tblPr>
        <w:tblStyle w:val="TableGrid"/>
        <w:tblW w:type="dxa" w:w="9360"/>
        <w:tblLayout w:type="fixed"/>
        <w:tblLook w:firstColumn="1" w:firstRow="1" w:lastColumn="0" w:lastRow="0" w:noHBand="0" w:noVBand="1" w:val="04A0"/>
        <w:jc w:val="left"/>
        <w:tblInd w:w="120" w:type="dxa"/>
      </w:tblPr>
      <w:tblGrid>
        <w:gridCol w:w="5100"/>
        <w:gridCol w:w="4260"/>
      </w:tblGrid>
      <w:tr>
        <w:trPr>
          <w:tblHeader w:val="true"/>
        </w:trPr>
        <w:tc>
          <w:tcPr>
            <w:tcW w:type="dxa" w:w="510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Comando</w:t>
            </w:r>
          </w:p>
        </w:tc>
        <w:tc>
          <w:tcPr>
            <w:tcW w:type="dxa" w:w="4260"/>
            <w:tcMar>
              <w:top w:w="80" w:type="dxa"/>
              <w:start w:w="120" w:type="dxa"/>
              <w:bottom w:w="80" w:type="dxa"/>
              <w:end w:w="120" w:type="dxa"/>
            </w:tcMar>
            <w:vAlign w:val="center"/>
            <w:shd w:fill="F2F4F7"/>
          </w:tcPr>
          <w:p>
            <w:pPr>
              <w:spacing w:after="0"/>
              <w:jc w:val="center"/>
            </w:pPr>
            <w:r>
              <w:rPr>
                <w:rFonts w:ascii="Calibri" w:hAnsi="Calibri" w:eastAsia="Calibri"/>
                <w:b/>
                <w:color w:val="0B2545"/>
                <w:sz w:val="17"/>
              </w:rPr>
              <w:t>Finalidad</w:t>
            </w:r>
          </w:p>
        </w:tc>
      </w:tr>
      <w:tr>
        <w:tc>
          <w:tcPr>
            <w:tcW w:type="dxa" w:w="5100"/>
            <w:tcMar>
              <w:top w:w="80" w:type="dxa"/>
              <w:start w:w="120" w:type="dxa"/>
              <w:bottom w:w="80" w:type="dxa"/>
              <w:end w:w="120" w:type="dxa"/>
            </w:tcMar>
            <w:vAlign w:val="center"/>
          </w:tcPr>
          <w:p>
            <w:pPr>
              <w:spacing w:after="0"/>
              <w:jc w:val="center"/>
            </w:pPr>
            <w:r>
              <w:rPr>
                <w:rFonts w:ascii="Calibri" w:hAnsi="Calibri" w:eastAsia="Calibri"/>
                <w:color w:val="000000"/>
                <w:sz w:val="17"/>
              </w:rPr>
              <w:t>ip -br addr</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Identificar la IP y el prefijo de red de Kali.</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sudo nmap -sn 192.168.56.0/24</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Descubrir hosts activos dentro del segmento aislado.</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sudo nmap -sS -sV -sC -O -p- 192.168.56.103 -oN snakeoil_escaneo_completo.txt</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Enumerar todos los puertos TCP, versiones, scripts básicos y sistema operativo aproximado.</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gobuster dir -u http://192.168.56.103:8080 -w /usr/share/wordlists/dirb/common.txt -x txt,html,py -o gobuster_8080.txt</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Descubrir rutas y archivos no enlazados desde la interfaz.</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http://192.168.56.103:8080/users</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Revisar encabezados y contenido del endpoint /users.</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http://192.168.56.103:8080/registration</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Observar la respuesta de registro ante una solicitud GET.</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http://192.168.56.103:8080/create</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Inspeccionar la vista HTML de creación sin enviar datos.</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http://192.168.56.103:8080/test</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Comprobar la respuesta del endpoint de prueba.</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http://192.168.56.103:8080/secret</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Registrar de forma reproducible el error interno del endpoint.</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-X OPTIONS http://192.168.56.103:8080/login</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Identificar los métodos permitidos por /login.</w:t>
            </w:r>
          </w:p>
        </w:tc>
      </w:tr>
      <w:tr>
        <w:tc>
          <w:tcPr>
            <w:tcW w:type="dxa" w:w="5100"/>
            <w:tcMar>
              <w:top w:w="80" w:type="dxa"/>
              <w:start w:w="120" w:type="dxa"/>
              <w:bottom w:w="80" w:type="dxa"/>
              <w:end w:w="120" w:type="dxa"/>
            </w:tcMar>
            <w:vAlign w:val="center"/>
          </w:tcPr>
          <w:p>
            <w:pPr>
              <w:spacing w:after="0"/>
              <w:jc w:val="left"/>
            </w:pPr>
            <w:r>
              <w:rPr>
                <w:rFonts w:ascii="Calibri" w:hAnsi="Calibri" w:eastAsia="Calibri"/>
                <w:color w:val="000000"/>
                <w:sz w:val="17"/>
              </w:rPr>
              <w:t>curl -sS -i -X OPTIONS http://192.168.56.103:8080/run</w:t>
            </w:r>
          </w:p>
        </w:tc>
        <w:tc>
          <w:tcPr>
            <w:tcW w:type="dxa" w:w="4260"/>
            <w:tcMar>
              <w:top w:w="80" w:type="dxa"/>
              <w:start w:w="120" w:type="dxa"/>
              <w:bottom w:w="80" w:type="dxa"/>
              <w:end w:w="120" w:type="dxa"/>
            </w:tcMar>
            <w:vAlign w:val="center"/>
          </w:tcPr>
          <w:p>
            <w:pPr>
              <w:spacing w:after="0"/>
              <w:jc w:val="left"/>
            </w:pPr>
            <w:r>
              <w:rPr>
                <w:rFonts w:ascii="Calibri" w:hAnsi="Calibri" w:eastAsia="Calibri"/>
                <w:color w:val="000000"/>
                <w:sz w:val="17"/>
              </w:rPr>
              <w:t>Identificar los métodos permitidos por /run sin ejecutar comandos.</w:t>
            </w:r>
          </w:p>
        </w:tc>
      </w:tr>
    </w:tbl>
    <w:p>
      <w:pPr>
        <w:spacing w:after="40"/>
      </w:pPr>
    </w:p>
    <w:p>
      <w:pPr>
        <w:pStyle w:val="Heading2"/>
      </w:pPr>
      <w:r>
        <w:t>Referencias</w:t>
      </w:r>
    </w:p>
    <w:p>
      <w:pPr>
        <w:numPr>
          <w:ilvl w:val="0"/>
          <w:numId w:val="13"/>
        </w:numPr>
        <w:spacing w:after="160" w:line="280" w:lineRule="auto"/>
      </w:pPr>
      <w:r>
        <w:rPr>
          <w:rFonts w:ascii="Calibri" w:hAnsi="Calibri" w:eastAsia="Calibri"/>
          <w:color w:val="000000"/>
          <w:sz w:val="22"/>
        </w:rPr>
        <w:t>VulnHub. digitalworld.local: snakeoil. https://www.vulnhub.com/entry/digitalworldlocal-snakeoil,738/</w:t>
      </w:r>
    </w:p>
    <w:p>
      <w:pPr>
        <w:numPr>
          <w:ilvl w:val="0"/>
          <w:numId w:val="13"/>
        </w:numPr>
        <w:spacing w:after="160" w:line="280" w:lineRule="auto"/>
      </w:pPr>
      <w:r>
        <w:rPr>
          <w:rFonts w:ascii="Calibri" w:hAnsi="Calibri" w:eastAsia="Calibri"/>
          <w:color w:val="000000"/>
          <w:sz w:val="22"/>
        </w:rPr>
        <w:t>Nmap Project. Nmap Reference Guide. https://nmap.org/book/man.html</w:t>
      </w:r>
    </w:p>
    <w:p>
      <w:pPr>
        <w:numPr>
          <w:ilvl w:val="0"/>
          <w:numId w:val="13"/>
        </w:numPr>
        <w:spacing w:after="160" w:line="280" w:lineRule="auto"/>
      </w:pPr>
      <w:r>
        <w:rPr>
          <w:rFonts w:ascii="Calibri" w:hAnsi="Calibri" w:eastAsia="Calibri"/>
          <w:color w:val="000000"/>
          <w:sz w:val="22"/>
        </w:rPr>
        <w:t>Gobuster Project. Directory/File, DNS and VHost busting tool. https://github.com/OJ/gobuster</w:t>
      </w:r>
    </w:p>
    <w:p>
      <w:pPr>
        <w:numPr>
          <w:ilvl w:val="0"/>
          <w:numId w:val="13"/>
        </w:numPr>
        <w:spacing w:after="160" w:line="280" w:lineRule="auto"/>
      </w:pPr>
      <w:r>
        <w:rPr>
          <w:rFonts w:ascii="Calibri" w:hAnsi="Calibri" w:eastAsia="Calibri"/>
          <w:color w:val="000000"/>
          <w:sz w:val="22"/>
        </w:rPr>
        <w:t>Flask-JWT-Extended. Configuration Options. https://flask-jwt-extended.readthedocs.io/en/stable/options/</w:t>
      </w:r>
    </w:p>
    <w:p>
      <w:pPr>
        <w:pStyle w:val="Heading2"/>
        <w:keepNext/>
      </w:pPr>
      <w:r>
        <w:t>Evidencia audiovisual</w:t>
      </w:r>
    </w:p>
    <w:p>
      <w:pPr/>
      <w:r>
        <w:t xml:space="preserve">La evidencia audiovisual de PR01 está disponible en Microsoft Stream mediante el enlace institucional proporcionado para esta entrega: </w:t>
      </w:r>
      <w:hyperlink r:id="rId30">
        <w:r>
          <w:rPr>
            <w:color w:val="0563C1"/>
            <w:u w:val="single"/>
          </w:rPr>
          <w:t>Abrir video walkthrough de PR01</w:t>
        </w:r>
      </w:hyperlink>
      <w:r>
        <w:t>. El acceso puede solicitar autenticación con una cuenta de la UPSLP.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eastAsia="Calibri"/>
                <w:b/>
                <w:color w:val="2E74B5"/>
                <w:sz w:val="21"/>
              </w:rPr>
              <w:t xml:space="preserve">Control de versión: </w:t>
            </w:r>
            <w:r>
              <w:rPr>
                <w:rFonts w:ascii="Calibri" w:hAnsi="Calibri" w:eastAsia="Calibri"/>
                <w:color w:val="0B2545"/>
                <w:sz w:val="21"/>
              </w:rPr>
              <w:t>Documento actualizado con evidencias disponibles hasta el 8 de septiembre de 2026. La fase 9 está en proceso; las secciones 10 y 11 conservan espacios explícitos para las capturas de explotación y post-explotación, mientras que la fase 12 se actualizará con la evaluación final.</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36E"/>
        <w:sz w:val="17"/>
      </w:rPr>
      <w:t xml:space="preserve">Juan Francisco Ortega Jiménez  |  Página </w:t>
    </w:r>
    <w:r>
      <w:rPr>
        <w:rFonts w:ascii="Calibri" w:hAnsi="Calibri" w:eastAsia="Calibri"/>
        <w:color w:val="59636E"/>
        <w:sz w:val="17"/>
      </w:rPr>
      <w:fldChar w:fldCharType="begin"/>
      <w:instrText xml:space="preserve">PAGE</w:instrText>
      <w:fldChar w:fldCharType="separate"/>
      <w:t>1</w:t>
      <w:fldChar w:fldCharType="end"/>
    </w:r>
    <w:r>
      <w:rPr>
        <w:rFonts w:ascii="Calibri" w:hAnsi="Calibri" w:eastAsia="Calibri"/>
        <w:color w:val="59636E"/>
        <w:sz w:val="17"/>
      </w:rPr>
      <w:t xml:space="preserve"> de </w:t>
    </w:r>
    <w:r>
      <w:rPr>
        <w:rFonts w:ascii="Calibri" w:hAnsi="Calibri" w:eastAsia="Calibri"/>
        <w:color w:val="59636E"/>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9636E"/>
        <w:sz w:val="17"/>
      </w:rPr>
      <w:t>SEGURIDAD INFORMÁTICA  |  PR01 WALKTHROUGH SNAKEOIL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pPr>
    <w:rPr>
      <w:rFonts w:ascii="Calibri" w:hAnsi="Calibri"/>
      <w:b/>
      <w:bCs/>
      <w:i/>
      <w:color w:val="5963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upslpedu-my.sharepoint.com/:v:/g/personal/184918_upslp_edu_mx/IQB2DP0T89AKSZDgbnNwZk3eAbmFGycVLsiQbxvGjbF6LfQ?e=P4Ss9T&amp;nav=eyJyZWZlcnJhbEluZm8iOnsicmVmZXJyYWxBcHAiOiJTdHJlYW1XZWJBcHAiLCJyZWZlcnJhbFZpZXciOiJTaGFyZURpYWxvZy1MaW5rIiwicmVmZXJyYWxBcHBQbGF0Zm9ybSI6IldlYiIsInJlZmVycmFsTW9kZSI6InZpZXcifX0%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PR01 De la teoría a la práctica</dc:title>
  <dc:subject>Reporte técnico de avance y evidencia audiovisual del walkthrough SNAKEOIL</dc:subject>
  <dc:creator>Juan Francisco Ortega Jiménez</dc:creator>
  <cp:keywords>ciberseguridad, pentesting, VulnHub, Snakeoil, Kali Linux, Nmap, Gobuster</cp:keywords>
  <dc:description>Documento de avance con apartados preparados para evidencias futuras.</dc:description>
  <cp:lastModifiedBy/>
  <cp:revision>1</cp:revision>
  <dcterms:created xsi:type="dcterms:W3CDTF">2013-12-23T23:15:00Z</dcterms:created>
  <dcterms:modified xsi:type="dcterms:W3CDTF">2013-12-23T23:15:00Z</dcterms:modified>
  <cp:category/>
</cp:coreProperties>
</file>