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18488" cy="1618488"/>
            <wp:docPr id="1" name="Picture 1"/>
            <wp:cNvGraphicFramePr>
              <a:graphicFrameLocks noChangeAspect="1"/>
            </wp:cNvGraphicFramePr>
            <a:graphic>
              <a:graphicData uri="http://schemas.openxmlformats.org/drawingml/2006/picture">
                <pic:pic>
                  <pic:nvPicPr>
                    <pic:cNvPr id="0" name="WhatsApp_Image_2026-09-04_at_14_22_41.jpeg"/>
                    <pic:cNvPicPr/>
                  </pic:nvPicPr>
                  <pic:blipFill>
                    <a:blip r:embed="rId11"/>
                    <a:stretch>
                      <a:fillRect/>
                    </a:stretch>
                  </pic:blipFill>
                  <pic:spPr>
                    <a:xfrm>
                      <a:off x="0" y="0"/>
                      <a:ext cx="1618488" cy="1618488"/>
                    </a:xfrm>
                    <a:prstGeom prst="rect"/>
                  </pic:spPr>
                </pic:pic>
              </a:graphicData>
            </a:graphic>
          </wp:inline>
        </w:drawing>
      </w:r>
    </w:p>
    <w:p/>
    <w:p>
      <w:pPr>
        <w:jc w:val="center"/>
      </w:pPr>
      <w:r>
        <w:rPr>
          <w:b/>
          <w:color w:val="0B0E14"/>
          <w:sz w:val="48"/>
        </w:rPr>
        <w:t>URBANSTEP</w:t>
      </w:r>
    </w:p>
    <w:p>
      <w:pPr>
        <w:jc w:val="center"/>
      </w:pPr>
      <w:r>
        <w:rPr>
          <w:color w:val="595959"/>
          <w:sz w:val="22"/>
        </w:rPr>
        <w:t>Sistema de informacion empresarial para tienda de ropa y calzado urbano</w:t>
      </w:r>
    </w:p>
    <w:p>
      <w:pPr>
        <w:jc w:val="center"/>
      </w:pPr>
      <w:r>
        <w:rPr>
          <w:b/>
          <w:color w:val="7CB518"/>
          <w:sz w:val="22"/>
        </w:rPr>
        <w:t>Documento 2 de 15</w:t>
      </w:r>
    </w:p>
    <w:p>
      <w:pPr>
        <w:jc w:val="center"/>
      </w:pPr>
      <w:r>
        <w:rPr>
          <w:b/>
          <w:color w:val="0B0E14"/>
          <w:sz w:val="40"/>
        </w:rPr>
        <w:t>Arquitectura frontend, backend, datos, almacenamiento e IA</w:t>
      </w:r>
    </w:p>
    <w:p>
      <w:pPr>
        <w:jc w:val="center"/>
      </w:pPr>
      <w:r>
        <w:rPr>
          <w:color w:val="595959"/>
          <w:sz w:val="24"/>
        </w:rPr>
        <w:t>Detalle de cada bloque tecnologico y como se conectan entre si</w:t>
      </w:r>
    </w:p>
    <w:p/>
    <w:p>
      <w:pPr>
        <w:jc w:val="center"/>
      </w:pPr>
      <w:r>
        <w:rPr>
          <w:b/>
          <w:sz w:val="22"/>
        </w:rPr>
        <w:t>Fase 6.2 — Diseno</w:t>
      </w:r>
    </w:p>
    <w:p>
      <w:pPr>
        <w:jc w:val="center"/>
      </w:pPr>
      <w:r>
        <w:rPr>
          <w:color w:val="595959"/>
          <w:sz w:val="20"/>
        </w:rPr>
        <w:t>Asignatura: Desarrollo de Aplicaciones Empresariales</w:t>
      </w:r>
    </w:p>
    <w:p>
      <w:pPr>
        <w:jc w:val="center"/>
      </w:pPr>
      <w:r>
        <w:rPr>
          <w:color w:val="595959"/>
          <w:sz w:val="20"/>
        </w:rPr>
        <w:t>Unidades Tecnologicas de Santander (UTS)</w:t>
      </w:r>
    </w:p>
    <w:p/>
    <w:p>
      <w:pPr>
        <w:pStyle w:val="Heading2"/>
      </w:pPr>
      <w:r>
        <w:t>2.1 Frontend</w:t>
      </w:r>
    </w:p>
    <w:p>
      <w:r>
        <w:t>El frontend no es una aplicacion separada: son vistas JSP que Spring MVC renderiza en el servidor y entrega como HTML ya armado. Se eligio este enfoque -y no una SPA en React o Vue- porque simplifica el manejo de sesion, evita duplicar la validacion en dos lenguajes distintos, y encaja con el tamano del proyecto.</w:t>
      </w:r>
    </w:p>
    <w:p>
      <w:pPr>
        <w:pStyle w:val="ListBullet"/>
      </w:pPr>
      <w:r>
        <w:t>JSP + JSTL para la logica de plantilla (condicionales, listas, formularios).</w:t>
      </w:r>
    </w:p>
    <w:p>
      <w:pPr>
        <w:pStyle w:val="ListBullet"/>
      </w:pPr>
      <w:r>
        <w:t>Bootstrap 5.3 como base de la grilla y los componentes, con una hoja de estilos propia encima para la identidad visual de la marca (fondo oscuro con acentos de neon).</w:t>
      </w:r>
    </w:p>
    <w:p>
      <w:pPr>
        <w:pStyle w:val="ListBullet"/>
      </w:pPr>
      <w:r>
        <w:t>JavaScript plano para interacciones puntuales (el chat flotante, el medidor de fuerza de la clave); no hay un framework de frontend pesado.</w:t>
      </w:r>
    </w:p>
    <w:p>
      <w:pPr>
        <w:pStyle w:val="Heading2"/>
      </w:pPr>
      <w:r>
        <w:t>2.2 Backend</w:t>
      </w:r>
    </w:p>
    <w:p>
      <w:r>
        <w:t>Spring Boot 3.3 sobre Java 21. Los paquetes se organizan por responsabilidad:</w:t>
      </w:r>
    </w:p>
    <w:tbl>
      <w:tblPr>
        <w:tblStyle w:val="LightGrid-Accent1"/>
        <w:tblW w:type="auto" w:w="0"/>
        <w:jc w:val="left"/>
        <w:tblLook w:firstColumn="1" w:firstRow="1" w:lastColumn="0" w:lastRow="0" w:noHBand="0" w:noVBand="1" w:val="04A0"/>
      </w:tblPr>
      <w:tblGrid>
        <w:gridCol w:w="5040"/>
        <w:gridCol w:w="5040"/>
      </w:tblGrid>
      <w:tr>
        <w:tc>
          <w:tcPr>
            <w:tcW w:type="dxa" w:w="5040"/>
          </w:tcPr>
          <w:p>
            <w:r>
              <w:rPr>
                <w:b/>
              </w:rPr>
              <w:t>Paquete</w:t>
            </w:r>
          </w:p>
        </w:tc>
        <w:tc>
          <w:tcPr>
            <w:tcW w:type="dxa" w:w="5040"/>
          </w:tcPr>
          <w:p>
            <w:r>
              <w:rPr>
                <w:b/>
              </w:rPr>
              <w:t>Contenido</w:t>
            </w:r>
          </w:p>
        </w:tc>
      </w:tr>
      <w:tr>
        <w:tc>
          <w:tcPr>
            <w:tcW w:type="dxa" w:w="5040"/>
          </w:tcPr>
          <w:p>
            <w:r>
              <w:t>controller</w:t>
            </w:r>
          </w:p>
        </w:tc>
        <w:tc>
          <w:tcPr>
            <w:tcW w:type="dxa" w:w="5040"/>
          </w:tcPr>
          <w:p>
            <w:r>
              <w:t>Puntos de entrada HTTP; sin logica de negocio</w:t>
            </w:r>
          </w:p>
        </w:tc>
      </w:tr>
      <w:tr>
        <w:tc>
          <w:tcPr>
            <w:tcW w:type="dxa" w:w="5040"/>
          </w:tcPr>
          <w:p>
            <w:r>
              <w:t>service</w:t>
            </w:r>
          </w:p>
        </w:tc>
        <w:tc>
          <w:tcPr>
            <w:tcW w:type="dxa" w:w="5040"/>
          </w:tcPr>
          <w:p>
            <w:r>
              <w:t>Reglas de negocio: PedidoService, InventarioService, ComisionService...</w:t>
            </w:r>
          </w:p>
        </w:tc>
      </w:tr>
      <w:tr>
        <w:tc>
          <w:tcPr>
            <w:tcW w:type="dxa" w:w="5040"/>
          </w:tcPr>
          <w:p>
            <w:r>
              <w:t>repository</w:t>
            </w:r>
          </w:p>
        </w:tc>
        <w:tc>
          <w:tcPr>
            <w:tcW w:type="dxa" w:w="5040"/>
          </w:tcPr>
          <w:p>
            <w:r>
              <w:t>Interfaces de Spring Data JPA, una por entidad</w:t>
            </w:r>
          </w:p>
        </w:tc>
      </w:tr>
      <w:tr>
        <w:tc>
          <w:tcPr>
            <w:tcW w:type="dxa" w:w="5040"/>
          </w:tcPr>
          <w:p>
            <w:r>
              <w:t>model</w:t>
            </w:r>
          </w:p>
        </w:tc>
        <w:tc>
          <w:tcPr>
            <w:tcW w:type="dxa" w:w="5040"/>
          </w:tcPr>
          <w:p>
            <w:r>
              <w:t>Entidades JPA y enumeraciones (EstadoPedido, EstadoComision...)</w:t>
            </w:r>
          </w:p>
        </w:tc>
      </w:tr>
      <w:tr>
        <w:tc>
          <w:tcPr>
            <w:tcW w:type="dxa" w:w="5040"/>
          </w:tcPr>
          <w:p>
            <w:r>
              <w:t>dto</w:t>
            </w:r>
          </w:p>
        </w:tc>
        <w:tc>
          <w:tcPr>
            <w:tcW w:type="dxa" w:w="5040"/>
          </w:tcPr>
          <w:p>
            <w:r>
              <w:t>Objetos de transferencia cuando la vista no debe ver la entidad completa</w:t>
            </w:r>
          </w:p>
        </w:tc>
      </w:tr>
      <w:tr>
        <w:tc>
          <w:tcPr>
            <w:tcW w:type="dxa" w:w="5040"/>
          </w:tcPr>
          <w:p>
            <w:r>
              <w:t>security</w:t>
            </w:r>
          </w:p>
        </w:tc>
        <w:tc>
          <w:tcPr>
            <w:tcW w:type="dxa" w:w="5040"/>
          </w:tcPr>
          <w:p>
            <w:r>
              <w:t>Configuracion de autenticacion y autorizacion</w:t>
            </w:r>
          </w:p>
        </w:tc>
      </w:tr>
      <w:tr>
        <w:tc>
          <w:tcPr>
            <w:tcW w:type="dxa" w:w="5040"/>
          </w:tcPr>
          <w:p>
            <w:r>
              <w:t>config</w:t>
            </w:r>
          </w:p>
        </w:tc>
        <w:tc>
          <w:tcPr>
            <w:tcW w:type="dxa" w:w="5040"/>
          </w:tcPr>
          <w:p>
            <w:r>
              <w:t>Configuracion de la aplicacion (locale, seguridad, datos de arranque)</w:t>
            </w:r>
          </w:p>
        </w:tc>
      </w:tr>
    </w:tbl>
    <w:p/>
    <w:p>
      <w:pPr>
        <w:pStyle w:val="Heading2"/>
      </w:pPr>
      <w:r>
        <w:t>2.3 Datos</w:t>
      </w:r>
    </w:p>
    <w:p>
      <w:r>
        <w:t>MySQL 8 (o MariaDB) como motor relacional, accedido mediante Spring Data JPA e Hibernate. El modelo tiene 16 tablas, agrupadas en cuatro areas: nucleo del negocio (producto, categoria, pedido, item_pedido), usuarios y datos personales (con dos tablas separadas para datos privados y sensibles, cifradas), atencion al cliente (chatbot), y apoyo/control (auditoria, notificaciones, resenas, reportes). El detalle completo esta en el Documento 8 (Modelo entidad-relacion) y el Documento 9 (Diccionario de datos).</w:t>
      </w:r>
    </w:p>
    <w:p>
      <w:pPr>
        <w:pStyle w:val="Heading2"/>
      </w:pPr>
      <w:r>
        <w:t>2.4 Almacenamiento de archivos</w:t>
      </w:r>
    </w:p>
    <w:p>
      <w:r>
        <w:t>Las imagenes de producto, los comprobantes de pago y las fotos de entrega no se guardan como binarios en la base de datos -eso la inflaria y encareceria los respaldos-, sino en el disco del servidor, en una carpeta configurable (app.imagenes.carpeta). En la base solo queda el nombre del archivo. El nombre lo genera el propio servidor, nunca el que llega del navegador, para evitar que un archivo malicioso escriba fuera de la carpeta prevista.</w:t>
      </w:r>
    </w:p>
    <w:p>
      <w:pPr>
        <w:ind w:left="216"/>
        <w:pBdr>
          <w:left w:val="single" w:sz="18" w:space="4" w:color="7CB518"/>
        </w:pBdr>
        <w:shd w:val="clear" w:fill="F4F6F9"/>
      </w:pPr>
      <w:r>
        <w:rPr>
          <w:i/>
          <w:color w:val="595959"/>
          <w:sz w:val="20"/>
        </w:rPr>
        <w:t>En el despliegue en la nube (Documento 6, Diagrama de despliegue) este disco no es persistente en el plan gratuito: es una limitacion documentada, no un descuido.</w:t>
      </w:r>
    </w:p>
    <w:p>
      <w:pPr>
        <w:pStyle w:val="Heading2"/>
      </w:pPr>
      <w:r>
        <w:t>2.5 Integracion con IA</w:t>
      </w:r>
    </w:p>
    <w:p>
      <w:r>
        <w:t>El chatbot de atencion usa un modelo de lenguaje (Gemini o, alternativamente, Ollama en un servidor local) como una capa opcional sobre un motor de reglas propio de 24 intenciones. El motor de reglas resuelve la mayoria de las preguntas frecuentes sin salir del servidor; el modelo de lenguaje entra solo cuando la pregunta no calza con ninguna regla, y si el servicio de IA no esta disponible o no esta configurado, el chatbot sigue funcionando con las reglas, nunca se cae. El diseno completo de esta integracion esta en el Documento 13.</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Pagina </w:t>
    </w:r>
    <w:r>
      <w:rPr>
        <w:color w:val="595959"/>
        <w:sz w:val="16"/>
      </w:rPr>
      <w:fldChar w:fldCharType="begin"/>
      <w:instrText xml:space="preserve"> PAGE </w:instrText>
      <w:fldChar w:fldCharType="end"/>
    </w:r>
    <w:r>
      <w:rPr>
        <w:color w:val="595959"/>
        <w:sz w:val="16"/>
      </w:rPr>
      <w:t xml:space="preserve"> de </w:t>
    </w:r>
    <w:r>
      <w:rPr>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UrbanStep — 6.2 — Diseno — Doc. 2/15: Arquitectura por bloques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