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3 de 15</w:t>
      </w:r>
    </w:p>
    <w:p>
      <w:pPr>
        <w:jc w:val="center"/>
      </w:pPr>
      <w:r>
        <w:rPr>
          <w:b/>
          <w:color w:val="0B0E14"/>
          <w:sz w:val="40"/>
        </w:rPr>
        <w:t>Diagrama de arquitectura</w:t>
      </w:r>
    </w:p>
    <w:p>
      <w:pPr>
        <w:jc w:val="center"/>
      </w:pPr>
      <w:r>
        <w:rPr>
          <w:color w:val="595959"/>
          <w:sz w:val="24"/>
        </w:rPr>
        <w:t>Recorrido completo de una peticion, capa por capa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3.1 Lectura del diagrama</w:t>
      </w:r>
    </w:p>
    <w:p>
      <w:r>
        <w:t>El diagrama sigue el recorrido real de una peticion: el navegador entra por Spring Security, que autentica y decide si el rol tiene permiso; de ahi pasa a los controladores, que llaman a los servicios de negocio; los servicios usan los repositorios para hablar con MySQL, y las vistas JSP arman el HTML que vuelve al navegador. Los servicios externos (pasarela de pagos y modelo de lenguaje) aparecen aparte, con linea punteada, porque son opcionales: el sistema funciona sin ellos.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048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arquitectur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48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1. Arquitectura en capas de UrbanStep.</w:t>
      </w:r>
    </w:p>
    <w:p>
      <w:pPr>
        <w:pStyle w:val="Heading3"/>
      </w:pPr>
      <w:r>
        <w:t>3.2 Por que las capas transversales van separadas</w:t>
      </w:r>
    </w:p>
    <w:p>
      <w:r>
        <w:t>PoliticaAccesoService (que decide que nivel de dato ve cada rol) y AuditoriaService (que registra cada acceso) no viven dentro de un unico servicio de negocio: se inyectan donde se necesitan. Si la politica de acceso cambiara, se cambia en un solo lugar, no en cada servicio que consulta datos personales.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3/15: Diagrama de arquitectura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