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618488" cy="1618488"/>
            <wp:docPr id="1" name="Picture 1"/>
            <wp:cNvGraphicFramePr>
              <a:graphicFrameLocks noChangeAspect="1"/>
            </wp:cNvGraphicFramePr>
            <a:graphic>
              <a:graphicData uri="http://schemas.openxmlformats.org/drawingml/2006/picture">
                <pic:pic>
                  <pic:nvPicPr>
                    <pic:cNvPr id="0" name="WhatsApp_Image_2026-09-04_at_14_22_41.jpeg"/>
                    <pic:cNvPicPr/>
                  </pic:nvPicPr>
                  <pic:blipFill>
                    <a:blip r:embed="rId11"/>
                    <a:stretch>
                      <a:fillRect/>
                    </a:stretch>
                  </pic:blipFill>
                  <pic:spPr>
                    <a:xfrm>
                      <a:off x="0" y="0"/>
                      <a:ext cx="1618488" cy="1618488"/>
                    </a:xfrm>
                    <a:prstGeom prst="rect"/>
                  </pic:spPr>
                </pic:pic>
              </a:graphicData>
            </a:graphic>
          </wp:inline>
        </w:drawing>
      </w:r>
    </w:p>
    <w:p/>
    <w:p>
      <w:pPr>
        <w:jc w:val="center"/>
      </w:pPr>
      <w:r>
        <w:rPr>
          <w:b/>
          <w:color w:val="0B0E14"/>
          <w:sz w:val="48"/>
        </w:rPr>
        <w:t>URBANSTEP</w:t>
      </w:r>
    </w:p>
    <w:p>
      <w:pPr>
        <w:jc w:val="center"/>
      </w:pPr>
      <w:r>
        <w:rPr>
          <w:color w:val="595959"/>
          <w:sz w:val="22"/>
        </w:rPr>
        <w:t>Sistema de informacion empresarial para tienda de ropa y calzado urbano</w:t>
      </w:r>
    </w:p>
    <w:p>
      <w:pPr>
        <w:jc w:val="center"/>
      </w:pPr>
      <w:r>
        <w:rPr>
          <w:b/>
          <w:color w:val="7CB518"/>
          <w:sz w:val="22"/>
        </w:rPr>
        <w:t>Documento 12 de 15</w:t>
      </w:r>
    </w:p>
    <w:p>
      <w:pPr>
        <w:jc w:val="center"/>
      </w:pPr>
      <w:r>
        <w:rPr>
          <w:b/>
          <w:color w:val="0B0E14"/>
          <w:sz w:val="40"/>
        </w:rPr>
        <w:t>Flujo de procesamiento documental</w:t>
      </w:r>
    </w:p>
    <w:p>
      <w:pPr>
        <w:jc w:val="center"/>
      </w:pPr>
      <w:r>
        <w:rPr>
          <w:color w:val="595959"/>
          <w:sz w:val="24"/>
        </w:rPr>
        <w:t>Los documentos que entran y salen del sistema: comprobantes, fotos y reportes en PDF</w:t>
      </w:r>
    </w:p>
    <w:p/>
    <w:p>
      <w:pPr>
        <w:jc w:val="center"/>
      </w:pPr>
      <w:r>
        <w:rPr>
          <w:b/>
          <w:sz w:val="22"/>
        </w:rPr>
        <w:t>Fase 6.2 — Diseno</w:t>
      </w:r>
    </w:p>
    <w:p>
      <w:pPr>
        <w:jc w:val="center"/>
      </w:pPr>
      <w:r>
        <w:rPr>
          <w:color w:val="595959"/>
          <w:sz w:val="20"/>
        </w:rPr>
        <w:t>Asignatura: Desarrollo de Aplicaciones Empresariales</w:t>
      </w:r>
    </w:p>
    <w:p>
      <w:pPr>
        <w:jc w:val="center"/>
      </w:pPr>
      <w:r>
        <w:rPr>
          <w:color w:val="595959"/>
          <w:sz w:val="20"/>
        </w:rPr>
        <w:t>Unidades Tecnologicas de Santander (UTS)</w:t>
      </w:r>
    </w:p>
    <w:p/>
    <w:p>
      <w:pPr>
        <w:pStyle w:val="Heading2"/>
      </w:pPr>
      <w:r>
        <w:t>12.1 Alcance de este documento</w:t>
      </w:r>
    </w:p>
    <w:p>
      <w:r>
        <w:t>UrbanStep no es un sistema de gestion documental, pero si maneja tres tipos de documento a lo largo del ciclo de un pedido, y genera documentos formales (reportes en PDF). Este documento describe como entra, se valida y se guarda cada uno.</w:t>
      </w:r>
    </w:p>
    <w:p>
      <w:pPr>
        <w:pStyle w:val="Heading2"/>
      </w:pPr>
      <w:r>
        <w:t>12.2 Documentos que sube el cliente</w:t>
      </w:r>
    </w:p>
    <w:tbl>
      <w:tblPr>
        <w:tblStyle w:val="LightGrid-Accent1"/>
        <w:tblW w:type="auto" w:w="0"/>
        <w:jc w:val="left"/>
        <w:tblLook w:firstColumn="1" w:firstRow="1" w:lastColumn="0" w:lastRow="0" w:noHBand="0" w:noVBand="1" w:val="04A0"/>
      </w:tblPr>
      <w:tblGrid>
        <w:gridCol w:w="2520"/>
        <w:gridCol w:w="2520"/>
        <w:gridCol w:w="2520"/>
        <w:gridCol w:w="2520"/>
      </w:tblGrid>
      <w:tr>
        <w:tc>
          <w:tcPr>
            <w:tcW w:type="dxa" w:w="2520"/>
          </w:tcPr>
          <w:p>
            <w:r>
              <w:rPr>
                <w:b/>
              </w:rPr>
              <w:t>Documento</w:t>
            </w:r>
          </w:p>
        </w:tc>
        <w:tc>
          <w:tcPr>
            <w:tcW w:type="dxa" w:w="2520"/>
          </w:tcPr>
          <w:p>
            <w:r>
              <w:rPr>
                <w:b/>
              </w:rPr>
              <w:t>Cuando se sube</w:t>
            </w:r>
          </w:p>
        </w:tc>
        <w:tc>
          <w:tcPr>
            <w:tcW w:type="dxa" w:w="2520"/>
          </w:tcPr>
          <w:p>
            <w:r>
              <w:rPr>
                <w:b/>
              </w:rPr>
              <w:t>Validacion</w:t>
            </w:r>
          </w:p>
        </w:tc>
        <w:tc>
          <w:tcPr>
            <w:tcW w:type="dxa" w:w="2520"/>
          </w:tcPr>
          <w:p>
            <w:r>
              <w:rPr>
                <w:b/>
              </w:rPr>
              <w:t>Donde queda</w:t>
            </w:r>
          </w:p>
        </w:tc>
      </w:tr>
      <w:tr>
        <w:tc>
          <w:tcPr>
            <w:tcW w:type="dxa" w:w="2520"/>
          </w:tcPr>
          <w:p>
            <w:r>
              <w:t>Comprobante de pago</w:t>
            </w:r>
          </w:p>
        </w:tc>
        <w:tc>
          <w:tcPr>
            <w:tcW w:type="dxa" w:w="2520"/>
          </w:tcPr>
          <w:p>
            <w:r>
              <w:t>Al reportar un pago manual, opcional</w:t>
            </w:r>
          </w:p>
        </w:tc>
        <w:tc>
          <w:tcPr>
            <w:tcW w:type="dxa" w:w="2520"/>
          </w:tcPr>
          <w:p>
            <w:r>
              <w:t>Tipo de archivo, extension y tamano (maximo 8 MB)</w:t>
            </w:r>
          </w:p>
        </w:tc>
        <w:tc>
          <w:tcPr>
            <w:tcW w:type="dxa" w:w="2520"/>
          </w:tcPr>
          <w:p>
            <w:r>
              <w:t>Disco del servidor; el nombre del archivo lo genera el sistema</w:t>
            </w:r>
          </w:p>
        </w:tc>
      </w:tr>
      <w:tr>
        <w:tc>
          <w:tcPr>
            <w:tcW w:type="dxa" w:w="2520"/>
          </w:tcPr>
          <w:p>
            <w:r>
              <w:t>Foto de entrega</w:t>
            </w:r>
          </w:p>
        </w:tc>
        <w:tc>
          <w:tcPr>
            <w:tcW w:type="dxa" w:w="2520"/>
          </w:tcPr>
          <w:p>
            <w:r>
              <w:t>Al confirmar la recepcion del pedido, opcional</w:t>
            </w:r>
          </w:p>
        </w:tc>
        <w:tc>
          <w:tcPr>
            <w:tcW w:type="dxa" w:w="2520"/>
          </w:tcPr>
          <w:p>
            <w:r>
              <w:t>Mismas reglas que el comprobante</w:t>
            </w:r>
          </w:p>
        </w:tc>
        <w:tc>
          <w:tcPr>
            <w:tcW w:type="dxa" w:w="2520"/>
          </w:tcPr>
          <w:p>
            <w:r>
              <w:t>Disco del servidor</w:t>
            </w:r>
          </w:p>
        </w:tc>
      </w:tr>
    </w:tbl>
    <w:p/>
    <w:p>
      <w:r>
        <w:t>El nombre del archivo nunca es el que llega del navegador: si lo fuera, un archivo llamado por ejemplo "../../algo.jsp" podria escribir fuera de la carpeta prevista. El servidor genera un nombre propio y solo guarda esa referencia en la base de datos.</w:t>
      </w:r>
    </w:p>
    <w:p>
      <w:pPr>
        <w:pStyle w:val="Heading2"/>
      </w:pPr>
      <w:r>
        <w:t>12.3 Documentos que genera el sistema</w:t>
      </w:r>
    </w:p>
    <w:tbl>
      <w:tblPr>
        <w:tblStyle w:val="LightGrid-Accent1"/>
        <w:tblW w:type="auto" w:w="0"/>
        <w:jc w:val="left"/>
        <w:tblLook w:firstColumn="1" w:firstRow="1" w:lastColumn="0" w:lastRow="0" w:noHBand="0" w:noVBand="1" w:val="04A0"/>
      </w:tblPr>
      <w:tblGrid>
        <w:gridCol w:w="2520"/>
        <w:gridCol w:w="2520"/>
        <w:gridCol w:w="2520"/>
        <w:gridCol w:w="2520"/>
      </w:tblGrid>
      <w:tr>
        <w:tc>
          <w:tcPr>
            <w:tcW w:type="dxa" w:w="2520"/>
          </w:tcPr>
          <w:p>
            <w:r>
              <w:rPr>
                <w:b/>
              </w:rPr>
              <w:t>Documento</w:t>
            </w:r>
          </w:p>
        </w:tc>
        <w:tc>
          <w:tcPr>
            <w:tcW w:type="dxa" w:w="2520"/>
          </w:tcPr>
          <w:p>
            <w:r>
              <w:rPr>
                <w:b/>
              </w:rPr>
              <w:t>Cuando se genera</w:t>
            </w:r>
          </w:p>
        </w:tc>
        <w:tc>
          <w:tcPr>
            <w:tcW w:type="dxa" w:w="2520"/>
          </w:tcPr>
          <w:p>
            <w:r>
              <w:rPr>
                <w:b/>
              </w:rPr>
              <w:t>Formato</w:t>
            </w:r>
          </w:p>
        </w:tc>
        <w:tc>
          <w:tcPr>
            <w:tcW w:type="dxa" w:w="2520"/>
          </w:tcPr>
          <w:p>
            <w:r>
              <w:rPr>
                <w:b/>
              </w:rPr>
              <w:t>Contenido</w:t>
            </w:r>
          </w:p>
        </w:tc>
      </w:tr>
      <w:tr>
        <w:tc>
          <w:tcPr>
            <w:tcW w:type="dxa" w:w="2520"/>
          </w:tcPr>
          <w:p>
            <w:r>
              <w:t>Orden de pedido</w:t>
            </w:r>
          </w:p>
        </w:tc>
        <w:tc>
          <w:tcPr>
            <w:tcW w:type="dxa" w:w="2520"/>
          </w:tcPr>
          <w:p>
            <w:r>
              <w:t>Bajo demanda, desde el detalle del pedido</w:t>
            </w:r>
          </w:p>
        </w:tc>
        <w:tc>
          <w:tcPr>
            <w:tcW w:type="dxa" w:w="2520"/>
          </w:tcPr>
          <w:p>
            <w:r>
              <w:t>PDF (OpenPDF)</w:t>
            </w:r>
          </w:p>
        </w:tc>
        <w:tc>
          <w:tcPr>
            <w:tcW w:type="dxa" w:w="2520"/>
          </w:tcPr>
          <w:p>
            <w:r>
              <w:t>Datos del pedido, items, total, estado</w:t>
            </w:r>
          </w:p>
        </w:tc>
      </w:tr>
      <w:tr>
        <w:tc>
          <w:tcPr>
            <w:tcW w:type="dxa" w:w="2520"/>
          </w:tcPr>
          <w:p>
            <w:r>
              <w:t>Reporte mensual de atencion</w:t>
            </w:r>
          </w:p>
        </w:tc>
        <w:tc>
          <w:tcPr>
            <w:tcW w:type="dxa" w:w="2520"/>
          </w:tcPr>
          <w:p>
            <w:r>
              <w:t>Bajo demanda, desde el panel</w:t>
            </w:r>
          </w:p>
        </w:tc>
        <w:tc>
          <w:tcPr>
            <w:tcW w:type="dxa" w:w="2520"/>
          </w:tcPr>
          <w:p>
            <w:r>
              <w:t>PDF con graficos SVG embebidos</w:t>
            </w:r>
          </w:p>
        </w:tc>
        <w:tc>
          <w:tcPr>
            <w:tcW w:type="dxa" w:w="2520"/>
          </w:tcPr>
          <w:p>
            <w:r>
              <w:t>Personas atendidas, calificacion, recomendaciones, sugerencias automaticas</w:t>
            </w:r>
          </w:p>
        </w:tc>
      </w:tr>
      <w:tr>
        <w:tc>
          <w:tcPr>
            <w:tcW w:type="dxa" w:w="2520"/>
          </w:tcPr>
          <w:p>
            <w:r>
              <w:t>Reporte mensual (variante)</w:t>
            </w:r>
          </w:p>
        </w:tc>
        <w:tc>
          <w:tcPr>
            <w:tcW w:type="dxa" w:w="2520"/>
          </w:tcPr>
          <w:p>
            <w:r>
              <w:t>Bajo demanda</w:t>
            </w:r>
          </w:p>
        </w:tc>
        <w:tc>
          <w:tcPr>
            <w:tcW w:type="dxa" w:w="2520"/>
          </w:tcPr>
          <w:p>
            <w:r>
              <w:t>CSV</w:t>
            </w:r>
          </w:p>
        </w:tc>
        <w:tc>
          <w:tcPr>
            <w:tcW w:type="dxa" w:w="2520"/>
          </w:tcPr>
          <w:p>
            <w:r>
              <w:t>Los mismos datos del reporte, en formato tabular para hoja de calculo</w:t>
            </w:r>
          </w:p>
        </w:tc>
      </w:tr>
    </w:tbl>
    <w:p/>
    <w:p>
      <w:pPr>
        <w:ind w:left="216"/>
        <w:pBdr>
          <w:left w:val="single" w:sz="18" w:space="4" w:color="7CB518"/>
        </w:pBdr>
        <w:shd w:val="clear" w:fill="F4F6F9"/>
      </w:pPr>
      <w:r>
        <w:rPr>
          <w:i/>
          <w:color w:val="595959"/>
          <w:sz w:val="20"/>
        </w:rPr>
        <w:t>Los graficos del reporte se dibujan como SVG en el propio servidor -no con una libreria de JavaScript como Chart.js- para que se vean igual sin conexion y no dependan de que el navegador ejecute JavaScript.</w:t>
      </w:r>
    </w:p>
    <w:p>
      <w:pPr>
        <w:pStyle w:val="Heading2"/>
      </w:pPr>
      <w:r>
        <w:t>12.4 Flujo, de principio a fin</w:t>
      </w:r>
    </w:p>
    <w:p>
      <w:r>
        <w:t>1) El cliente sube un archivo -&gt; 2) el servidor valida tipo, extension y tamano -&gt; 3) si pasa la validacion, se genera un nombre unico y se guarda en disco -&gt; 4) el nombre queda referenciado en la fila del pedido en la base de datos -&gt; 5) cuando alguien con permiso necesita verlo (el vendedor verificando el pago, el jefe revisando la aceptacion), el sistema sirve el archivo por su nombre generado, nunca por una ruta que el usuario pueda adivinar o manipular.</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Pagina </w:t>
    </w:r>
    <w:r>
      <w:rPr>
        <w:color w:val="595959"/>
        <w:sz w:val="16"/>
      </w:rPr>
      <w:fldChar w:fldCharType="begin"/>
      <w:instrText xml:space="preserve"> PAGE </w:instrText>
      <w:fldChar w:fldCharType="end"/>
    </w:r>
    <w:r>
      <w:rPr>
        <w:color w:val="595959"/>
        <w:sz w:val="16"/>
      </w:rPr>
      <w:t xml:space="preserve"> de </w:t>
    </w:r>
    <w:r>
      <w:rPr>
        <w:color w:val="595959"/>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UrbanStep — 6.2 — Diseno — Doc. 12/15: Flujo de procesamiento documental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