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618488" cy="1618488"/>
            <wp:docPr id="1" name="Picture 1"/>
            <wp:cNvGraphicFramePr>
              <a:graphicFrameLocks noChangeAspect="1"/>
            </wp:cNvGraphicFramePr>
            <a:graphic>
              <a:graphicData uri="http://schemas.openxmlformats.org/drawingml/2006/picture">
                <pic:pic>
                  <pic:nvPicPr>
                    <pic:cNvPr id="0" name="WhatsApp_Image_2026-09-04_at_14_22_41.jpeg"/>
                    <pic:cNvPicPr/>
                  </pic:nvPicPr>
                  <pic:blipFill>
                    <a:blip r:embed="rId11"/>
                    <a:stretch>
                      <a:fillRect/>
                    </a:stretch>
                  </pic:blipFill>
                  <pic:spPr>
                    <a:xfrm>
                      <a:off x="0" y="0"/>
                      <a:ext cx="1618488" cy="1618488"/>
                    </a:xfrm>
                    <a:prstGeom prst="rect"/>
                  </pic:spPr>
                </pic:pic>
              </a:graphicData>
            </a:graphic>
          </wp:inline>
        </w:drawing>
      </w:r>
    </w:p>
    <w:p/>
    <w:p>
      <w:pPr>
        <w:jc w:val="center"/>
      </w:pPr>
      <w:r>
        <w:rPr>
          <w:b/>
          <w:color w:val="0B0E14"/>
          <w:sz w:val="48"/>
        </w:rPr>
        <w:t>URBANSTEP</w:t>
      </w:r>
    </w:p>
    <w:p>
      <w:pPr>
        <w:jc w:val="center"/>
      </w:pPr>
      <w:r>
        <w:rPr>
          <w:color w:val="595959"/>
          <w:sz w:val="22"/>
        </w:rPr>
        <w:t>Sistema de informacion empresarial para tienda de ropa y calzado urbano</w:t>
      </w:r>
    </w:p>
    <w:p>
      <w:pPr>
        <w:jc w:val="center"/>
      </w:pPr>
      <w:r>
        <w:rPr>
          <w:b/>
          <w:color w:val="7CB518"/>
          <w:sz w:val="22"/>
        </w:rPr>
        <w:t>Documento 15 de 15</w:t>
      </w:r>
    </w:p>
    <w:p>
      <w:pPr>
        <w:jc w:val="center"/>
      </w:pPr>
      <w:r>
        <w:rPr>
          <w:b/>
          <w:color w:val="0B0E14"/>
          <w:sz w:val="40"/>
        </w:rPr>
        <w:t>Diseno basico de seguridad</w:t>
      </w:r>
    </w:p>
    <w:p>
      <w:pPr>
        <w:jc w:val="center"/>
      </w:pPr>
      <w:r>
        <w:rPr>
          <w:color w:val="595959"/>
          <w:sz w:val="24"/>
        </w:rPr>
        <w:t>Las protecciones que cubren credenciales, datos personales, pagos y accesos</w:t>
      </w:r>
    </w:p>
    <w:p/>
    <w:p>
      <w:pPr>
        <w:jc w:val="center"/>
      </w:pPr>
      <w:r>
        <w:rPr>
          <w:b/>
          <w:sz w:val="22"/>
        </w:rPr>
        <w:t>Fase 6.2 — Diseno</w:t>
      </w:r>
    </w:p>
    <w:p>
      <w:pPr>
        <w:jc w:val="center"/>
      </w:pPr>
      <w:r>
        <w:rPr>
          <w:color w:val="595959"/>
          <w:sz w:val="20"/>
        </w:rPr>
        <w:t>Asignatura: Desarrollo de Aplicaciones Empresariales</w:t>
      </w:r>
    </w:p>
    <w:p>
      <w:pPr>
        <w:jc w:val="center"/>
      </w:pPr>
      <w:r>
        <w:rPr>
          <w:color w:val="595959"/>
          <w:sz w:val="20"/>
        </w:rPr>
        <w:t>Unidades Tecnologicas de Santander (UTS)</w:t>
      </w:r>
    </w:p>
    <w:p/>
    <w:p>
      <w:pPr>
        <w:pStyle w:val="Heading2"/>
      </w:pPr>
      <w:r>
        <w:t>15.1 Autenticacion</w:t>
      </w:r>
    </w:p>
    <w:p>
      <w:pPr>
        <w:pStyle w:val="ListBullet"/>
      </w:pPr>
      <w:r>
        <w:t>Contraseñas cifradas con BCrypt; nunca se guardan ni se muestran en texto plano.</w:t>
      </w:r>
    </w:p>
    <w:p>
      <w:pPr>
        <w:pStyle w:val="ListBullet"/>
      </w:pPr>
      <w:r>
        <w:t>La fuerza de la clave se valida en el servidor, no solo en el navegador: saltarse el JavaScript del formulario no basta para registrar una cuenta con clave debil.</w:t>
      </w:r>
    </w:p>
    <w:p>
      <w:pPr>
        <w:pStyle w:val="ListBullet"/>
      </w:pPr>
      <w:r>
        <w:t>El personal interno (empleado, jefe, administrador) no se registra por un formulario publico: lo crea el Administrador, evitando que cualquiera se cree una cuenta con privilegios solo entrando a una URL.</w:t>
      </w:r>
    </w:p>
    <w:p>
      <w:pPr>
        <w:pStyle w:val="Heading2"/>
      </w:pPr>
      <w:r>
        <w:t>15.2 Autorizacion</w:t>
      </w:r>
    </w:p>
    <w:p>
      <w:pPr>
        <w:pStyle w:val="ListBullet"/>
      </w:pPr>
      <w:r>
        <w:t>Cuatro roles (Cliente, Empleado con subtipo, Jefe, Administrador), verificados a nivel de ruta (Spring Security) y otra vez dentro del controlador para los subtipos de empleado.</w:t>
      </w:r>
    </w:p>
    <w:p>
      <w:pPr>
        <w:pStyle w:val="ListBullet"/>
      </w:pPr>
      <w:r>
        <w:t>Matriz de acceso a datos centralizada en una sola clase (PoliticaAccesoService): si la politica cambia, se cambia en un lugar, no en cada servicio que toca datos personales.</w:t>
      </w:r>
    </w:p>
    <w:p>
      <w:pPr>
        <w:pStyle w:val="ListBullet"/>
      </w:pPr>
      <w:r>
        <w:t>Un pedido ajeno responde igual que uno inexistente, para no confirmar por descarte a quien pertenece cada numero de pedido.</w:t>
      </w:r>
    </w:p>
    <w:p>
      <w:pPr>
        <w:pStyle w:val="Heading2"/>
      </w:pPr>
      <w:r>
        <w:t>15.3 Proteccion de datos personales</w:t>
      </w:r>
    </w:p>
    <w:p>
      <w:pPr>
        <w:pStyle w:val="ListBullet"/>
      </w:pPr>
      <w:r>
        <w:t>Datos privados (documento, telefono, direccion) y datos sensibles (medidas, alergias) cifrados con AES-256-GCM, en tablas separadas del resto del registro del cliente.</w:t>
      </w:r>
    </w:p>
    <w:p>
      <w:pPr>
        <w:pStyle w:val="ListBullet"/>
      </w:pPr>
      <w:r>
        <w:t>Auditoria de todo acceso a datos personales, incluidos los intentos denegados: queda registrado quien intento ver que, aunque no se le haya permitido.</w:t>
      </w:r>
    </w:p>
    <w:p>
      <w:pPr>
        <w:pStyle w:val="Heading2"/>
      </w:pPr>
      <w:r>
        <w:t>15.4 Proteccion contra ataques comunes</w:t>
      </w:r>
    </w:p>
    <w:tbl>
      <w:tblPr>
        <w:tblStyle w:val="LightGrid-Accent1"/>
        <w:tblW w:type="auto" w:w="0"/>
        <w:jc w:val="left"/>
        <w:tblLook w:firstColumn="1" w:firstRow="1" w:lastColumn="0" w:lastRow="0" w:noHBand="0" w:noVBand="1" w:val="04A0"/>
      </w:tblPr>
      <w:tblGrid>
        <w:gridCol w:w="5040"/>
        <w:gridCol w:w="5040"/>
      </w:tblGrid>
      <w:tr>
        <w:tc>
          <w:tcPr>
            <w:tcW w:type="dxa" w:w="5040"/>
          </w:tcPr>
          <w:p>
            <w:r>
              <w:rPr>
                <w:b/>
              </w:rPr>
              <w:t>Riesgo</w:t>
            </w:r>
          </w:p>
        </w:tc>
        <w:tc>
          <w:tcPr>
            <w:tcW w:type="dxa" w:w="5040"/>
          </w:tcPr>
          <w:p>
            <w:r>
              <w:rPr>
                <w:b/>
              </w:rPr>
              <w:t>Proteccion aplicada</w:t>
            </w:r>
          </w:p>
        </w:tc>
      </w:tr>
      <w:tr>
        <w:tc>
          <w:tcPr>
            <w:tcW w:type="dxa" w:w="5040"/>
          </w:tcPr>
          <w:p>
            <w:r>
              <w:t>CSRF</w:t>
            </w:r>
          </w:p>
        </w:tc>
        <w:tc>
          <w:tcPr>
            <w:tcW w:type="dxa" w:w="5040"/>
          </w:tcPr>
          <w:p>
            <w:r>
              <w:t>Token de Spring Security en todos los formularios</w:t>
            </w:r>
          </w:p>
        </w:tc>
      </w:tr>
      <w:tr>
        <w:tc>
          <w:tcPr>
            <w:tcW w:type="dxa" w:w="5040"/>
          </w:tcPr>
          <w:p>
            <w:r>
              <w:t>Inyeccion SQL</w:t>
            </w:r>
          </w:p>
        </w:tc>
        <w:tc>
          <w:tcPr>
            <w:tcW w:type="dxa" w:w="5040"/>
          </w:tcPr>
          <w:p>
            <w:r>
              <w:t>Spring Data JPA con consultas parametrizadas, nunca SQL concatenado a mano</w:t>
            </w:r>
          </w:p>
        </w:tc>
      </w:tr>
      <w:tr>
        <w:tc>
          <w:tcPr>
            <w:tcW w:type="dxa" w:w="5040"/>
          </w:tcPr>
          <w:p>
            <w:r>
              <w:t>Subida de archivos maliciosos</w:t>
            </w:r>
          </w:p>
        </w:tc>
        <w:tc>
          <w:tcPr>
            <w:tcW w:type="dxa" w:w="5040"/>
          </w:tcPr>
          <w:p>
            <w:r>
              <w:t>Validacion de tipo, extension y tamano; el nombre del archivo lo genera el servidor, nunca el navegador</w:t>
            </w:r>
          </w:p>
        </w:tc>
      </w:tr>
      <w:tr>
        <w:tc>
          <w:tcPr>
            <w:tcW w:type="dxa" w:w="5040"/>
          </w:tcPr>
          <w:p>
            <w:r>
              <w:t>Alteracion del monto de un pago</w:t>
            </w:r>
          </w:p>
        </w:tc>
        <w:tc>
          <w:tcPr>
            <w:tcW w:type="dxa" w:w="5040"/>
          </w:tcPr>
          <w:p>
            <w:r>
              <w:t>La firma de integridad de la pasarela se calcula en el servidor; un monto alterado desde el navegador se rechaza por firma invalida</w:t>
            </w:r>
          </w:p>
        </w:tc>
      </w:tr>
      <w:tr>
        <w:tc>
          <w:tcPr>
            <w:tcW w:type="dxa" w:w="5040"/>
          </w:tcPr>
          <w:p>
            <w:r>
              <w:t>Reasignacion indebida de comisiones</w:t>
            </w:r>
          </w:p>
        </w:tc>
        <w:tc>
          <w:tcPr>
            <w:tcW w:type="dxa" w:w="5040"/>
          </w:tcPr>
          <w:p>
            <w:r>
              <w:t>El vendedor asociado a un pedido se fija al crearlo y no se puede reasignar despues desde la interfaz</w:t>
            </w:r>
          </w:p>
        </w:tc>
      </w:tr>
    </w:tbl>
    <w:p/>
    <w:p>
      <w:pPr>
        <w:pStyle w:val="Heading2"/>
      </w:pPr>
      <w:r>
        <w:t>15.5 Seguridad en produccion (Render)</w:t>
      </w:r>
    </w:p>
    <w:p>
      <w:r>
        <w:t>Las credenciales de la base de datos, la clave de cifrado y las llaves de servicios externos (Wompi, Gemini) se pasan como variables de entorno, nunca quedan escritas en el codigo fuente ni en el repositorio de GitHub. El detalle de cada variable esta en el manual de despliegue, dentro de la fase de Implementacion.</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Pagina </w:t>
    </w:r>
    <w:r>
      <w:rPr>
        <w:color w:val="595959"/>
        <w:sz w:val="16"/>
      </w:rPr>
      <w:fldChar w:fldCharType="begin"/>
      <w:instrText xml:space="preserve"> PAGE </w:instrText>
      <w:fldChar w:fldCharType="end"/>
    </w:r>
    <w:r>
      <w:rPr>
        <w:color w:val="595959"/>
        <w:sz w:val="16"/>
      </w:rPr>
      <w:t xml:space="preserve"> de </w:t>
    </w:r>
    <w:r>
      <w:rPr>
        <w:color w:val="595959"/>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UrbanStep — 6.2 — Diseno — Doc. 15/15: Diseno de seguridad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