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before="300"/>
      </w:pPr>
    </w:p>
    <w:p>
      <w:pPr>
        <w:jc w:val="center"/>
      </w:pPr>
      <w:r>
        <w:rPr>
          <w:b/>
          <w:bCs/>
          <w:color w:val="0B0E14"/>
          <w:sz w:val="48"/>
          <w:szCs w:val="48"/>
        </w:rPr>
        <w:t xml:space="preserve">URBANSTEP</w:t>
      </w:r>
    </w:p>
    <w:p>
      <w:pPr>
        <w:spacing w:before="100"/>
        <w:jc w:val="center"/>
      </w:pPr>
      <w:r>
        <w:rPr>
          <w:color w:val="595959"/>
          <w:sz w:val="22"/>
          <w:szCs w:val="22"/>
        </w:rPr>
        <w:t xml:space="preserve">Sistema de información empresarial para tienda de ropa y calzado urbano</w:t>
      </w:r>
    </w:p>
    <w:p>
      <w:pPr>
        <w:spacing w:before="700"/>
      </w:pPr>
    </w:p>
    <w:p>
      <w:pPr>
        <w:jc w:val="center"/>
      </w:pPr>
      <w:r>
        <w:rPr>
          <w:b/>
          <w:bCs/>
          <w:color w:val="7CB518"/>
          <w:sz w:val="22"/>
          <w:szCs w:val="22"/>
        </w:rPr>
        <w:t xml:space="preserve">Documento 8 de 14</w:t>
      </w:r>
    </w:p>
    <w:p>
      <w:pPr>
        <w:spacing w:before="150"/>
        <w:jc w:val="center"/>
      </w:pPr>
      <w:r>
        <w:rPr>
          <w:b/>
          <w:bCs/>
          <w:color w:val="0B0E14"/>
          <w:sz w:val="40"/>
          <w:szCs w:val="40"/>
        </w:rPr>
        <w:t xml:space="preserve">Requerimientos no funcionales</w:t>
      </w:r>
    </w:p>
    <w:p>
      <w:pPr>
        <w:spacing w:before="150"/>
        <w:jc w:val="center"/>
      </w:pPr>
      <w:r>
        <w:rPr>
          <w:i/>
          <w:iCs/>
          <w:color w:val="595959"/>
          <w:sz w:val="24"/>
          <w:szCs w:val="24"/>
        </w:rPr>
        <w:t xml:space="preserve">Cualidades del sistema que no son una función puntual, pero que condicionan todo el diseño</w:t>
      </w:r>
    </w:p>
    <w:p>
      <w:pPr>
        <w:spacing w:before="900"/>
      </w:pPr>
    </w:p>
    <w:p>
      <w:pPr>
        <w:jc w:val="center"/>
      </w:pPr>
      <w:r>
        <w:rPr>
          <w:b/>
          <w:bCs/>
          <w:sz w:val="22"/>
          <w:szCs w:val="22"/>
        </w:rPr>
        <w:t xml:space="preserve">Fase 6.1 — Análisis</w:t>
      </w:r>
    </w:p>
    <w:p>
      <w:pPr>
        <w:spacing w:before="60"/>
        <w:jc w:val="center"/>
      </w:pPr>
      <w:r>
        <w:rPr>
          <w:color w:val="595959"/>
          <w:sz w:val="20"/>
          <w:szCs w:val="20"/>
        </w:rPr>
        <w:t xml:space="preserve">Asignatura: Desarrollo de Aplicaciones Empresariales</w:t>
      </w:r>
    </w:p>
    <w:p>
      <w:pPr>
        <w:jc w:val="center"/>
      </w:pPr>
      <w:r>
        <w:rPr>
          <w:color w:val="595959"/>
          <w:sz w:val="20"/>
          <w:szCs w:val="20"/>
        </w:rPr>
        <w:t xml:space="preserve">Unidades Tecnológicas de Santander (UTS)</w:t>
      </w:r>
    </w:p>
    <w:p>
      <w:r>
        <w:br w:type="page"/>
      </w:r>
    </w:p>
    <w:p>
      <w:pPr>
        <w:spacing w:after="300"/>
      </w:pPr>
      <w:r>
        <w:rPr>
          <w:b/>
          <w:bCs/>
          <w:color w:val="0B0E14"/>
          <w:sz w:val="32"/>
          <w:szCs w:val="32"/>
        </w:rPr>
        <w:t xml:space="preserve">Requerimientos no funcionales</w:t>
      </w:r>
    </w:p>
    <w:p>
      <w:pPr>
        <w:spacing w:after="160"/>
      </w:pPr>
      <w:r>
        <w:t xml:space="preserve">A diferencia de los requerimientos funcionales, estos requisitos no describen una acción puntual del sistema, sino una cualidad que debe cumplirse de forma transversal. Se agrupan por categoría para facilitar su verificación en la fase de Diseño y Pruebas.</w:t>
      </w:r>
    </w:p>
    <w:p>
      <w:pPr>
        <w:pStyle w:val="Heading2"/>
        <w:spacing w:after="140" w:before="260"/>
      </w:pPr>
      <w:r>
        <w:t xml:space="preserve">8.1 Seguridad</w:t>
      </w:r>
    </w:p>
    <w:p>
      <w:pPr>
        <w:spacing w:after="120"/>
      </w:pPr>
      <w:r>
        <w:rPr>
          <w:b/>
          <w:bCs/>
        </w:rPr>
        <w:t xml:space="preserve">RNF-01: </w:t>
      </w:r>
      <w:r>
        <w:t xml:space="preserve">Contraseñas con BCrypt; datos privados y sensibles cifrados con AES-256-GCM</w:t>
      </w:r>
    </w:p>
    <w:p>
      <w:pPr>
        <w:spacing w:after="160"/>
      </w:pPr>
      <w:r>
        <w:t xml:space="preserve">Justificación: el sistema maneja datos personales del cliente (dirección, teléfono, documento) y, en algunos casos, datos sensibles (medidas corporales, alergias a materiales) que requieren un nivel de protección superior al de un dato de catálogo.</w:t>
      </w:r>
    </w:p>
    <w:p>
      <w:pPr>
        <w:spacing w:after="120"/>
      </w:pPr>
      <w:r>
        <w:rPr>
          <w:b/>
          <w:bCs/>
        </w:rPr>
        <w:t xml:space="preserve">RNF-02: </w:t>
      </w:r>
      <w:r>
        <w:t xml:space="preserve">Auditoría de todo acceso a datos personales, incluidos los intentos denegados</w:t>
      </w:r>
    </w:p>
    <w:p>
      <w:pPr>
        <w:spacing w:after="160"/>
      </w:pPr>
      <w:r>
        <w:t xml:space="preserve">Justificación: permite reconstruir, ante cualquier duda, quién consultó qué dato y cuándo, incluso si el acceso fue rechazado.</w:t>
      </w:r>
    </w:p>
    <w:p>
      <w:pPr>
        <w:pStyle w:val="Heading2"/>
        <w:spacing w:after="140" w:before="260"/>
      </w:pPr>
      <w:r>
        <w:t xml:space="preserve">8.2 Disponibilidad</w:t>
      </w:r>
    </w:p>
    <w:p>
      <w:pPr>
        <w:spacing w:after="120"/>
      </w:pPr>
      <w:r>
        <w:rPr>
          <w:b/>
          <w:bCs/>
        </w:rPr>
        <w:t xml:space="preserve">RNF-03: </w:t>
      </w:r>
      <w:r>
        <w:t xml:space="preserve">Disponibilidad del chatbot sin depender de un servicio externo (motor de reglas de respaldo)</w:t>
      </w:r>
    </w:p>
    <w:p>
      <w:pPr>
        <w:spacing w:after="160"/>
      </w:pPr>
      <w:r>
        <w:t xml:space="preserve">Justificación: si el servicio de IA externo falla o no está configurado, el cliente debe seguir recibiendo respuestas básicas sobre su pedido, sin que la atención quede completamente interrumpida.</w:t>
      </w:r>
    </w:p>
    <w:p>
      <w:pPr>
        <w:pStyle w:val="Heading2"/>
        <w:spacing w:after="140" w:before="260"/>
      </w:pPr>
      <w:r>
        <w:t xml:space="preserve">8.3 Trazabilidad</w:t>
      </w:r>
    </w:p>
    <w:p>
      <w:pPr>
        <w:spacing w:after="120"/>
      </w:pPr>
      <w:r>
        <w:rPr>
          <w:b/>
          <w:bCs/>
        </w:rPr>
        <w:t xml:space="preserve">RNF-04: </w:t>
      </w:r>
      <w:r>
        <w:t xml:space="preserve">Ningún estado de pedido cambia sin quedar registrado quién y cuándo</w:t>
      </w:r>
    </w:p>
    <w:p>
      <w:pPr>
        <w:spacing w:after="160"/>
      </w:pPr>
      <w:r>
        <w:t xml:space="preserve">Justificación: dado que el flujo de pedido depende de aprobaciones humanas en cascada (vendedor, luego jefe), es indispensable poder reconstruir la cadena de decisiones sobre cualquier pedido.</w:t>
      </w:r>
    </w:p>
    <w:p>
      <w:pPr>
        <w:pStyle w:val="Heading2"/>
        <w:spacing w:after="140" w:before="260"/>
      </w:pPr>
      <w:r>
        <w:t xml:space="preserve">8.4 Usabilidad</w:t>
      </w:r>
    </w:p>
    <w:p>
      <w:pPr>
        <w:spacing w:after="120"/>
      </w:pPr>
      <w:r>
        <w:rPr>
          <w:b/>
          <w:bCs/>
        </w:rPr>
        <w:t xml:space="preserve">RNF-05: </w:t>
      </w:r>
      <w:r>
        <w:t xml:space="preserve">Los mensajes de error explican qué pasó y qué hacer, no solo que algo falló</w:t>
      </w:r>
    </w:p>
    <w:p>
      <w:pPr>
        <w:spacing w:after="160"/>
      </w:pPr>
      <w:r>
        <w:t xml:space="preserve">Justificación: reduce la fricción del cliente y del personal interno al operar el sistema, especialmente en el checkout, donde un mensaje genérico puede hacer que el cliente abandone la compra.</w:t>
      </w:r>
    </w:p>
    <w:p>
      <w:pPr>
        <w:pStyle w:val="Heading2"/>
        <w:spacing w:after="140" w:before="260"/>
      </w:pPr>
      <w:r>
        <w:t xml:space="preserve">8.5 Portabilidad</w:t>
      </w:r>
    </w:p>
    <w:p>
      <w:pPr>
        <w:spacing w:after="120"/>
      </w:pPr>
      <w:r>
        <w:rPr>
          <w:b/>
          <w:bCs/>
        </w:rPr>
        <w:t xml:space="preserve">RNF-06: </w:t>
      </w:r>
      <w:r>
        <w:t xml:space="preserve">Corre con JDK 21 y MySQL/MariaDB, sin dependencias de pago obligatorias</w:t>
      </w:r>
    </w:p>
    <w:p>
      <w:pPr>
        <w:spacing w:after="160"/>
      </w:pPr>
      <w:r>
        <w:t xml:space="preserve">Justificación: permite que el sistema se instale y verifique en cualquier entorno académico o de pruebas sin requerir licencias ni cuentas comerciales activas.</w:t>
      </w:r>
    </w:p>
    <w:p>
      <w:pPr>
        <w:pStyle w:val="Heading2"/>
        <w:spacing w:after="140" w:before="260"/>
      </w:pPr>
      <w:r>
        <w:t xml:space="preserve">8.6 Consistencia financiera</w:t>
      </w:r>
    </w:p>
    <w:p>
      <w:pPr>
        <w:spacing w:after="120"/>
      </w:pPr>
      <w:r>
        <w:rPr>
          <w:b/>
          <w:bCs/>
        </w:rPr>
        <w:t xml:space="preserve">RNF-07: </w:t>
      </w:r>
      <w:r>
        <w:t xml:space="preserve">La comisión de un vendedor se calcula una sola vez por pedido y se anula si el pedido se cancela</w:t>
      </w:r>
    </w:p>
    <w:p>
      <w:pPr>
        <w:spacing w:after="160"/>
      </w:pPr>
      <w:r>
        <w:t xml:space="preserve">Justificación: es la garantía central de que nunca quede una comisión pagada o pendiente sin un pedido pagado detrás, protegiendo tanto al negocio como al vendedor de disputas.</w:t>
      </w:r>
    </w:p>
    <w:p>
      <w:pPr>
        <w:pStyle w:val="Heading2"/>
        <w:spacing w:after="140" w:before="260"/>
      </w:pPr>
      <w:r>
        <w:t xml:space="preserve">8.7 Resumen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800"/>
      </w:tblGrid>
      <w:tr>
        <w:trPr>
          <w:tblHeader/>
        </w:trPr>
        <w:tc>
          <w:tcPr>
            <w:tcW w:type="dxa" w:w="1200"/>
            <w:shd w:fill="D9E8CF" w:color="auto" w:val="clear"/>
            <w:tcMar>
              <w:top w:type="dxa" w:w="60"/>
              <w:left w:type="dxa" w:w="100"/>
              <w:bottom w:type="dxa" w:w="60"/>
              <w:right w:type="dxa" w:w="100"/>
            </w:tcMar>
            <w:vAlign w:val="center"/>
          </w:tcPr>
          <w:p>
            <w:pPr>
              <w:jc w:val="left"/>
            </w:pPr>
            <w:r>
              <w:rPr>
                <w:b/>
                <w:bCs/>
              </w:rPr>
              <w:t xml:space="preserve">ID</w:t>
            </w:r>
          </w:p>
        </w:tc>
        <w:tc>
          <w:tcPr>
            <w:tcW w:type="dxa" w:w="2200"/>
            <w:shd w:fill="D9E8CF" w:color="auto" w:val="clear"/>
            <w:tcMar>
              <w:top w:type="dxa" w:w="60"/>
              <w:left w:type="dxa" w:w="100"/>
              <w:bottom w:type="dxa" w:w="60"/>
              <w:right w:type="dxa" w:w="100"/>
            </w:tcMar>
            <w:vAlign w:val="center"/>
          </w:tcPr>
          <w:p>
            <w:pPr>
              <w:jc w:val="left"/>
            </w:pPr>
            <w:r>
              <w:rPr>
                <w:b/>
                <w:bCs/>
              </w:rPr>
              <w:t xml:space="preserve">Categoría</w:t>
            </w:r>
          </w:p>
        </w:tc>
        <w:tc>
          <w:tcPr>
            <w:tcW w:type="dxa" w:w="5800"/>
            <w:shd w:fill="D9E8CF" w:color="auto" w:val="clear"/>
            <w:tcMar>
              <w:top w:type="dxa" w:w="60"/>
              <w:left w:type="dxa" w:w="100"/>
              <w:bottom w:type="dxa" w:w="60"/>
              <w:right w:type="dxa" w:w="100"/>
            </w:tcMar>
            <w:vAlign w:val="center"/>
          </w:tcPr>
          <w:p>
            <w:pPr>
              <w:jc w:val="left"/>
            </w:pPr>
            <w:r>
              <w:rPr>
                <w:b/>
                <w:bCs/>
              </w:rPr>
              <w:t xml:space="preserve">Requisito (resumen)</w:t>
            </w:r>
          </w:p>
        </w:tc>
      </w:tr>
      <w:tr>
        <w:tc>
          <w:tcPr>
            <w:tcW w:type="dxa" w:w="1200"/>
            <w:tcMar>
              <w:top w:type="dxa" w:w="60"/>
              <w:left w:type="dxa" w:w="100"/>
              <w:bottom w:type="dxa" w:w="60"/>
              <w:right w:type="dxa" w:w="100"/>
            </w:tcMar>
            <w:vAlign w:val="center"/>
          </w:tcPr>
          <w:p>
            <w:pPr>
              <w:jc w:val="left"/>
            </w:pPr>
            <w:r>
              <w:rPr>
                <w:b w:val="false"/>
                <w:bCs w:val="false"/>
              </w:rPr>
              <w:t xml:space="preserve">RNF-01</w:t>
            </w:r>
          </w:p>
        </w:tc>
        <w:tc>
          <w:tcPr>
            <w:tcW w:type="dxa" w:w="2200"/>
            <w:tcMar>
              <w:top w:type="dxa" w:w="60"/>
              <w:left w:type="dxa" w:w="100"/>
              <w:bottom w:type="dxa" w:w="60"/>
              <w:right w:type="dxa" w:w="100"/>
            </w:tcMar>
            <w:vAlign w:val="center"/>
          </w:tcPr>
          <w:p>
            <w:pPr>
              <w:jc w:val="left"/>
            </w:pPr>
            <w:r>
              <w:rPr>
                <w:b w:val="false"/>
                <w:bCs w:val="false"/>
              </w:rPr>
              <w:t xml:space="preserve">Seguridad</w:t>
            </w:r>
          </w:p>
        </w:tc>
        <w:tc>
          <w:tcPr>
            <w:tcW w:type="dxa" w:w="5800"/>
            <w:tcMar>
              <w:top w:type="dxa" w:w="60"/>
              <w:left w:type="dxa" w:w="100"/>
              <w:bottom w:type="dxa" w:w="60"/>
              <w:right w:type="dxa" w:w="100"/>
            </w:tcMar>
            <w:vAlign w:val="center"/>
          </w:tcPr>
          <w:p>
            <w:pPr>
              <w:jc w:val="left"/>
            </w:pPr>
            <w:r>
              <w:rPr>
                <w:b w:val="false"/>
                <w:bCs w:val="false"/>
              </w:rPr>
              <w:t xml:space="preserve">Cifrado de contraseñas y de datos privados/sensibles</w:t>
            </w:r>
          </w:p>
        </w:tc>
      </w:tr>
      <w:tr>
        <w:tc>
          <w:tcPr>
            <w:tcW w:type="dxa" w:w="1200"/>
            <w:tcMar>
              <w:top w:type="dxa" w:w="60"/>
              <w:left w:type="dxa" w:w="100"/>
              <w:bottom w:type="dxa" w:w="60"/>
              <w:right w:type="dxa" w:w="100"/>
            </w:tcMar>
            <w:vAlign w:val="center"/>
          </w:tcPr>
          <w:p>
            <w:pPr>
              <w:jc w:val="left"/>
            </w:pPr>
            <w:r>
              <w:rPr>
                <w:b w:val="false"/>
                <w:bCs w:val="false"/>
              </w:rPr>
              <w:t xml:space="preserve">RNF-02</w:t>
            </w:r>
          </w:p>
        </w:tc>
        <w:tc>
          <w:tcPr>
            <w:tcW w:type="dxa" w:w="2200"/>
            <w:tcMar>
              <w:top w:type="dxa" w:w="60"/>
              <w:left w:type="dxa" w:w="100"/>
              <w:bottom w:type="dxa" w:w="60"/>
              <w:right w:type="dxa" w:w="100"/>
            </w:tcMar>
            <w:vAlign w:val="center"/>
          </w:tcPr>
          <w:p>
            <w:pPr>
              <w:jc w:val="left"/>
            </w:pPr>
            <w:r>
              <w:rPr>
                <w:b w:val="false"/>
                <w:bCs w:val="false"/>
              </w:rPr>
              <w:t xml:space="preserve">Seguridad</w:t>
            </w:r>
          </w:p>
        </w:tc>
        <w:tc>
          <w:tcPr>
            <w:tcW w:type="dxa" w:w="5800"/>
            <w:tcMar>
              <w:top w:type="dxa" w:w="60"/>
              <w:left w:type="dxa" w:w="100"/>
              <w:bottom w:type="dxa" w:w="60"/>
              <w:right w:type="dxa" w:w="100"/>
            </w:tcMar>
            <w:vAlign w:val="center"/>
          </w:tcPr>
          <w:p>
            <w:pPr>
              <w:jc w:val="left"/>
            </w:pPr>
            <w:r>
              <w:rPr>
                <w:b w:val="false"/>
                <w:bCs w:val="false"/>
              </w:rPr>
              <w:t xml:space="preserve">Auditoría de accesos, incluidos los denegados</w:t>
            </w:r>
          </w:p>
        </w:tc>
      </w:tr>
      <w:tr>
        <w:tc>
          <w:tcPr>
            <w:tcW w:type="dxa" w:w="1200"/>
            <w:tcMar>
              <w:top w:type="dxa" w:w="60"/>
              <w:left w:type="dxa" w:w="100"/>
              <w:bottom w:type="dxa" w:w="60"/>
              <w:right w:type="dxa" w:w="100"/>
            </w:tcMar>
            <w:vAlign w:val="center"/>
          </w:tcPr>
          <w:p>
            <w:pPr>
              <w:jc w:val="left"/>
            </w:pPr>
            <w:r>
              <w:rPr>
                <w:b w:val="false"/>
                <w:bCs w:val="false"/>
              </w:rPr>
              <w:t xml:space="preserve">RNF-03</w:t>
            </w:r>
          </w:p>
        </w:tc>
        <w:tc>
          <w:tcPr>
            <w:tcW w:type="dxa" w:w="2200"/>
            <w:tcMar>
              <w:top w:type="dxa" w:w="60"/>
              <w:left w:type="dxa" w:w="100"/>
              <w:bottom w:type="dxa" w:w="60"/>
              <w:right w:type="dxa" w:w="100"/>
            </w:tcMar>
            <w:vAlign w:val="center"/>
          </w:tcPr>
          <w:p>
            <w:pPr>
              <w:jc w:val="left"/>
            </w:pPr>
            <w:r>
              <w:rPr>
                <w:b w:val="false"/>
                <w:bCs w:val="false"/>
              </w:rPr>
              <w:t xml:space="preserve">Disponibilidad</w:t>
            </w:r>
          </w:p>
        </w:tc>
        <w:tc>
          <w:tcPr>
            <w:tcW w:type="dxa" w:w="5800"/>
            <w:tcMar>
              <w:top w:type="dxa" w:w="60"/>
              <w:left w:type="dxa" w:w="100"/>
              <w:bottom w:type="dxa" w:w="60"/>
              <w:right w:type="dxa" w:w="100"/>
            </w:tcMar>
            <w:vAlign w:val="center"/>
          </w:tcPr>
          <w:p>
            <w:pPr>
              <w:jc w:val="left"/>
            </w:pPr>
            <w:r>
              <w:rPr>
                <w:b w:val="false"/>
                <w:bCs w:val="false"/>
              </w:rPr>
              <w:t xml:space="preserve">Chatbot con motor de respaldo local</w:t>
            </w:r>
          </w:p>
        </w:tc>
      </w:tr>
      <w:tr>
        <w:tc>
          <w:tcPr>
            <w:tcW w:type="dxa" w:w="1200"/>
            <w:tcMar>
              <w:top w:type="dxa" w:w="60"/>
              <w:left w:type="dxa" w:w="100"/>
              <w:bottom w:type="dxa" w:w="60"/>
              <w:right w:type="dxa" w:w="100"/>
            </w:tcMar>
            <w:vAlign w:val="center"/>
          </w:tcPr>
          <w:p>
            <w:pPr>
              <w:jc w:val="left"/>
            </w:pPr>
            <w:r>
              <w:rPr>
                <w:b w:val="false"/>
                <w:bCs w:val="false"/>
              </w:rPr>
              <w:t xml:space="preserve">RNF-04</w:t>
            </w:r>
          </w:p>
        </w:tc>
        <w:tc>
          <w:tcPr>
            <w:tcW w:type="dxa" w:w="2200"/>
            <w:tcMar>
              <w:top w:type="dxa" w:w="60"/>
              <w:left w:type="dxa" w:w="100"/>
              <w:bottom w:type="dxa" w:w="60"/>
              <w:right w:type="dxa" w:w="100"/>
            </w:tcMar>
            <w:vAlign w:val="center"/>
          </w:tcPr>
          <w:p>
            <w:pPr>
              <w:jc w:val="left"/>
            </w:pPr>
            <w:r>
              <w:rPr>
                <w:b w:val="false"/>
                <w:bCs w:val="false"/>
              </w:rPr>
              <w:t xml:space="preserve">Trazabilidad</w:t>
            </w:r>
          </w:p>
        </w:tc>
        <w:tc>
          <w:tcPr>
            <w:tcW w:type="dxa" w:w="5800"/>
            <w:tcMar>
              <w:top w:type="dxa" w:w="60"/>
              <w:left w:type="dxa" w:w="100"/>
              <w:bottom w:type="dxa" w:w="60"/>
              <w:right w:type="dxa" w:w="100"/>
            </w:tcMar>
            <w:vAlign w:val="center"/>
          </w:tcPr>
          <w:p>
            <w:pPr>
              <w:jc w:val="left"/>
            </w:pPr>
            <w:r>
              <w:rPr>
                <w:b w:val="false"/>
                <w:bCs w:val="false"/>
              </w:rPr>
              <w:t xml:space="preserve">Registro de quién y cuándo cambia un estado</w:t>
            </w:r>
          </w:p>
        </w:tc>
      </w:tr>
      <w:tr>
        <w:tc>
          <w:tcPr>
            <w:tcW w:type="dxa" w:w="1200"/>
            <w:tcMar>
              <w:top w:type="dxa" w:w="60"/>
              <w:left w:type="dxa" w:w="100"/>
              <w:bottom w:type="dxa" w:w="60"/>
              <w:right w:type="dxa" w:w="100"/>
            </w:tcMar>
            <w:vAlign w:val="center"/>
          </w:tcPr>
          <w:p>
            <w:pPr>
              <w:jc w:val="left"/>
            </w:pPr>
            <w:r>
              <w:rPr>
                <w:b w:val="false"/>
                <w:bCs w:val="false"/>
              </w:rPr>
              <w:t xml:space="preserve">RNF-05</w:t>
            </w:r>
          </w:p>
        </w:tc>
        <w:tc>
          <w:tcPr>
            <w:tcW w:type="dxa" w:w="2200"/>
            <w:tcMar>
              <w:top w:type="dxa" w:w="60"/>
              <w:left w:type="dxa" w:w="100"/>
              <w:bottom w:type="dxa" w:w="60"/>
              <w:right w:type="dxa" w:w="100"/>
            </w:tcMar>
            <w:vAlign w:val="center"/>
          </w:tcPr>
          <w:p>
            <w:pPr>
              <w:jc w:val="left"/>
            </w:pPr>
            <w:r>
              <w:rPr>
                <w:b w:val="false"/>
                <w:bCs w:val="false"/>
              </w:rPr>
              <w:t xml:space="preserve">Usabilidad</w:t>
            </w:r>
          </w:p>
        </w:tc>
        <w:tc>
          <w:tcPr>
            <w:tcW w:type="dxa" w:w="5800"/>
            <w:tcMar>
              <w:top w:type="dxa" w:w="60"/>
              <w:left w:type="dxa" w:w="100"/>
              <w:bottom w:type="dxa" w:w="60"/>
              <w:right w:type="dxa" w:w="100"/>
            </w:tcMar>
            <w:vAlign w:val="center"/>
          </w:tcPr>
          <w:p>
            <w:pPr>
              <w:jc w:val="left"/>
            </w:pPr>
            <w:r>
              <w:rPr>
                <w:b w:val="false"/>
                <w:bCs w:val="false"/>
              </w:rPr>
              <w:t xml:space="preserve">Mensajes de error accionables</w:t>
            </w:r>
          </w:p>
        </w:tc>
      </w:tr>
      <w:tr>
        <w:tc>
          <w:tcPr>
            <w:tcW w:type="dxa" w:w="1200"/>
            <w:tcMar>
              <w:top w:type="dxa" w:w="60"/>
              <w:left w:type="dxa" w:w="100"/>
              <w:bottom w:type="dxa" w:w="60"/>
              <w:right w:type="dxa" w:w="100"/>
            </w:tcMar>
            <w:vAlign w:val="center"/>
          </w:tcPr>
          <w:p>
            <w:pPr>
              <w:jc w:val="left"/>
            </w:pPr>
            <w:r>
              <w:rPr>
                <w:b w:val="false"/>
                <w:bCs w:val="false"/>
              </w:rPr>
              <w:t xml:space="preserve">RNF-06</w:t>
            </w:r>
          </w:p>
        </w:tc>
        <w:tc>
          <w:tcPr>
            <w:tcW w:type="dxa" w:w="2200"/>
            <w:tcMar>
              <w:top w:type="dxa" w:w="60"/>
              <w:left w:type="dxa" w:w="100"/>
              <w:bottom w:type="dxa" w:w="60"/>
              <w:right w:type="dxa" w:w="100"/>
            </w:tcMar>
            <w:vAlign w:val="center"/>
          </w:tcPr>
          <w:p>
            <w:pPr>
              <w:jc w:val="left"/>
            </w:pPr>
            <w:r>
              <w:rPr>
                <w:b w:val="false"/>
                <w:bCs w:val="false"/>
              </w:rPr>
              <w:t xml:space="preserve">Portabilidad</w:t>
            </w:r>
          </w:p>
        </w:tc>
        <w:tc>
          <w:tcPr>
            <w:tcW w:type="dxa" w:w="5800"/>
            <w:tcMar>
              <w:top w:type="dxa" w:w="60"/>
              <w:left w:type="dxa" w:w="100"/>
              <w:bottom w:type="dxa" w:w="60"/>
              <w:right w:type="dxa" w:w="100"/>
            </w:tcMar>
            <w:vAlign w:val="center"/>
          </w:tcPr>
          <w:p>
            <w:pPr>
              <w:jc w:val="left"/>
            </w:pPr>
            <w:r>
              <w:rPr>
                <w:b w:val="false"/>
                <w:bCs w:val="false"/>
              </w:rPr>
              <w:t xml:space="preserve">Ejecutable con JDK 21 y MySQL/MariaDB</w:t>
            </w:r>
          </w:p>
        </w:tc>
      </w:tr>
      <w:tr>
        <w:tc>
          <w:tcPr>
            <w:tcW w:type="dxa" w:w="1200"/>
            <w:tcMar>
              <w:top w:type="dxa" w:w="60"/>
              <w:left w:type="dxa" w:w="100"/>
              <w:bottom w:type="dxa" w:w="60"/>
              <w:right w:type="dxa" w:w="100"/>
            </w:tcMar>
            <w:vAlign w:val="center"/>
          </w:tcPr>
          <w:p>
            <w:pPr>
              <w:jc w:val="left"/>
            </w:pPr>
            <w:r>
              <w:rPr>
                <w:b w:val="false"/>
                <w:bCs w:val="false"/>
              </w:rPr>
              <w:t xml:space="preserve">RNF-07</w:t>
            </w:r>
          </w:p>
        </w:tc>
        <w:tc>
          <w:tcPr>
            <w:tcW w:type="dxa" w:w="2200"/>
            <w:tcMar>
              <w:top w:type="dxa" w:w="60"/>
              <w:left w:type="dxa" w:w="100"/>
              <w:bottom w:type="dxa" w:w="60"/>
              <w:right w:type="dxa" w:w="100"/>
            </w:tcMar>
            <w:vAlign w:val="center"/>
          </w:tcPr>
          <w:p>
            <w:pPr>
              <w:jc w:val="left"/>
            </w:pPr>
            <w:r>
              <w:rPr>
                <w:b w:val="false"/>
                <w:bCs w:val="false"/>
              </w:rPr>
              <w:t xml:space="preserve">Consistencia financiera</w:t>
            </w:r>
          </w:p>
        </w:tc>
        <w:tc>
          <w:tcPr>
            <w:tcW w:type="dxa" w:w="5800"/>
            <w:tcMar>
              <w:top w:type="dxa" w:w="60"/>
              <w:left w:type="dxa" w:w="100"/>
              <w:bottom w:type="dxa" w:w="60"/>
              <w:right w:type="dxa" w:w="100"/>
            </w:tcMar>
            <w:vAlign w:val="center"/>
          </w:tcPr>
          <w:p>
            <w:pPr>
              <w:jc w:val="left"/>
            </w:pPr>
            <w:r>
              <w:rPr>
                <w:b w:val="false"/>
                <w:bCs w:val="false"/>
              </w:rPr>
              <w:t xml:space="preserve">Comisión única por pedido, anulable</w:t>
            </w:r>
          </w:p>
        </w:tc>
      </w:tr>
    </w:tbl>
    <w:p>
      <w:pPr>
        <w:pStyle w:val="Heading2"/>
        <w:spacing w:after="140" w:before="260"/>
      </w:pPr>
      <w:r>
        <w:t xml:space="preserve">8.8 Restricciones</w:t>
      </w:r>
    </w:p>
    <w:p>
      <w:pPr>
        <w:pStyle w:val="ListParagraph"/>
        <w:numPr>
          <w:ilvl w:val="0"/>
          <w:numId w:val="1"/>
        </w:numPr>
        <w:spacing w:after="80"/>
      </w:pPr>
      <w:r>
        <w:t xml:space="preserve">El estudiante no cuenta con comercio registrado en la pasarela de pagos: la integración funciona en un modo simulado que no requiere RUT ni cuenta real.</w:t>
      </w:r>
    </w:p>
    <w:p>
      <w:pPr>
        <w:pStyle w:val="ListParagraph"/>
        <w:numPr>
          <w:ilvl w:val="0"/>
          <w:numId w:val="1"/>
        </w:numPr>
        <w:spacing w:after="80"/>
      </w:pPr>
      <w:r>
        <w:t xml:space="preserve">El documento y el código deben poder generarse y verificarse sin herramientas de pago.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UrbanStep — 6.1 Análisis — Doc. 8/14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414c2662f4ddfb1d9cb60551603a1eb705dfc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2026-09-04T19:28:39.459Z</dcterms:created>
  <dcterms:modified xsi:type="dcterms:W3CDTF">2026-09-04T19:28:39.459Z</dcterms:modified>
</cp:coreProperties>
</file>

<file path=docProps/custom.xml><?xml version="1.0" encoding="utf-8"?>
<Properties xmlns="http://schemas.openxmlformats.org/officeDocument/2006/custom-properties" xmlns:vt="http://schemas.openxmlformats.org/officeDocument/2006/docPropsVTypes"/>
</file>