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</w:pPr>
    </w:p>
    <w:p>
      <w:pPr>
        <w:jc w:val="center"/>
      </w:pPr>
      <w:r>
        <w:rPr>
          <w:b/>
          <w:bCs/>
          <w:color w:val="0B0E14"/>
          <w:sz w:val="48"/>
          <w:szCs w:val="48"/>
        </w:rPr>
        <w:t xml:space="preserve">URBANSTEP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Sistema de información empresarial para tienda de ropa y calzado urbano</w:t>
      </w:r>
    </w:p>
    <w:p>
      <w:pPr>
        <w:spacing w:before="700"/>
      </w:pPr>
    </w:p>
    <w:p>
      <w:pPr>
        <w:jc w:val="center"/>
      </w:pPr>
      <w:r>
        <w:rPr>
          <w:b/>
          <w:bCs/>
          <w:color w:val="7CB518"/>
          <w:sz w:val="22"/>
          <w:szCs w:val="22"/>
        </w:rPr>
        <w:t xml:space="preserve">Documento 11 de 14</w:t>
      </w:r>
    </w:p>
    <w:p>
      <w:pPr>
        <w:spacing w:before="150"/>
        <w:jc w:val="center"/>
      </w:pPr>
      <w:r>
        <w:rPr>
          <w:b/>
          <w:bCs/>
          <w:color w:val="0B0E14"/>
          <w:sz w:val="40"/>
          <w:szCs w:val="40"/>
        </w:rPr>
        <w:t xml:space="preserve">Casos de uso y especificaciones de los casos de uso</w:t>
      </w:r>
    </w:p>
    <w:p>
      <w:pPr>
        <w:spacing w:before="150"/>
        <w:jc w:val="center"/>
      </w:pPr>
      <w:r>
        <w:rPr>
          <w:i/>
          <w:iCs/>
          <w:color w:val="595959"/>
          <w:sz w:val="24"/>
          <w:szCs w:val="24"/>
        </w:rPr>
        <w:t xml:space="preserve">Casos de uso principales por actor y especificación detallada de los casos más críticos</w:t>
      </w:r>
    </w:p>
    <w:p>
      <w:pPr>
        <w:spacing w:before="900"/>
      </w:pPr>
    </w:p>
    <w:p>
      <w:pPr>
        <w:jc w:val="center"/>
      </w:pPr>
      <w:r>
        <w:rPr>
          <w:b/>
          <w:bCs/>
          <w:sz w:val="22"/>
          <w:szCs w:val="22"/>
        </w:rPr>
        <w:t xml:space="preserve">Fase 6.1 — Análisis</w:t>
      </w:r>
    </w:p>
    <w:p>
      <w:pPr>
        <w:spacing w:before="60"/>
        <w:jc w:val="center"/>
      </w:pPr>
      <w:r>
        <w:rPr>
          <w:color w:val="595959"/>
          <w:sz w:val="20"/>
          <w:szCs w:val="20"/>
        </w:rPr>
        <w:t xml:space="preserve">Asignatura: Desarrollo de Aplicaciones Empresariales</w:t>
      </w:r>
    </w:p>
    <w:p>
      <w:pPr>
        <w:jc w:val="center"/>
      </w:pPr>
      <w:r>
        <w:rPr>
          <w:color w:val="595959"/>
          <w:sz w:val="20"/>
          <w:szCs w:val="20"/>
        </w:rPr>
        <w:t xml:space="preserve">Unidades Tecnológicas de Santander (UTS)</w:t>
      </w:r>
    </w:p>
    <w:p>
      <w:r>
        <w:br w:type="page"/>
      </w:r>
    </w:p>
    <w:p>
      <w:pPr>
        <w:spacing w:after="300"/>
      </w:pPr>
      <w:r>
        <w:rPr>
          <w:b/>
          <w:bCs/>
          <w:color w:val="0B0E14"/>
          <w:sz w:val="32"/>
          <w:szCs w:val="32"/>
        </w:rPr>
        <w:t xml:space="preserve">Casos de uso y especificaciones de los casos de uso</w:t>
      </w:r>
    </w:p>
    <w:p>
      <w:pPr>
        <w:spacing w:after="160"/>
      </w:pPr>
      <w:r>
        <w:t xml:space="preserve">El diagrama general de casos de uso relaciona cada actor con sus casos de uso (ver 05-Diagrama-Casos-de-Uso). A continuación se listan los casos principales por actor y la especificación detallada de los casos de uso más críticos del sistema, entendidos como aquellos que concentran mayor riesgo financiero o de inventario.</w:t>
      </w:r>
    </w:p>
    <w:p>
      <w:pPr>
        <w:pStyle w:val="Heading2"/>
        <w:spacing w:after="140" w:before="260"/>
      </w:pPr>
      <w:r>
        <w:t xml:space="preserve">11.1 Casos de uso por actor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rPr>
          <w:tblHeader/>
        </w:trPr>
        <w:tc>
          <w:tcPr>
            <w:tcW w:type="dxa" w:w="22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74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Casos de uso principales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Cliente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Registrarse / iniciar sesión; explorar catálogo; agregar al carrito; elegir vendedor que atendió; pagar el pedido; reportar pago manual; confirmar recepción; dejar reseña; usar el chatbot.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Empleado (Vendedor)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Confirmar pago recibido; hacer venta asistida; consultar mis comisiones.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Empleado (Bodeguero)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Alistar pedido; despachar pedido.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Jefe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Gestionar catálogo (CRUD); definir comisión por producto; aceptar / rechazar compra; ver reporte mensual.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Administrador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Gestionar cuentas de personal (crear, editar, activar/desactivar).</w:t>
            </w:r>
          </w:p>
        </w:tc>
      </w:tr>
    </w:tbl>
    <w:p>
      <w:pPr>
        <w:pStyle w:val="Heading2"/>
        <w:spacing w:after="140" w:before="260"/>
      </w:pPr>
      <w:r>
        <w:t xml:space="preserve">11.2 Especificación — Comprar (Cliente)</w:t>
      </w:r>
    </w:p>
    <w:p>
      <w:pPr>
        <w:spacing w:after="120"/>
      </w:pPr>
      <w:r>
        <w:rPr>
          <w:b/>
          <w:bCs/>
        </w:rPr>
        <w:t xml:space="preserve">Actor principal: </w:t>
      </w:r>
      <w:r>
        <w:t xml:space="preserve">Cliente</w:t>
      </w:r>
    </w:p>
    <w:p>
      <w:pPr>
        <w:spacing w:after="120"/>
      </w:pPr>
      <w:r>
        <w:rPr>
          <w:b/>
          <w:bCs/>
        </w:rPr>
        <w:t xml:space="preserve">Actores secundarios: </w:t>
      </w:r>
      <w:r>
        <w:t xml:space="preserve">Ninguno directo; el pedido resultante alimenta el trabajo del Vendedor y del Bodeguero</w:t>
      </w:r>
    </w:p>
    <w:p>
      <w:pPr>
        <w:spacing w:after="120"/>
      </w:pPr>
      <w:r>
        <w:rPr>
          <w:b/>
          <w:bCs/>
        </w:rPr>
        <w:t xml:space="preserve">Precondición: </w:t>
      </w:r>
      <w:r>
        <w:t xml:space="preserve">El cliente tiene productos disponibles en el catálogo</w:t>
      </w:r>
    </w:p>
    <w:p>
      <w:pPr>
        <w:spacing w:after="120"/>
      </w:pPr>
      <w:r>
        <w:rPr>
          <w:b/>
          <w:bCs/>
        </w:rPr>
        <w:t xml:space="preserve">Flujo principal: </w:t>
      </w:r>
      <w:r>
        <w:t xml:space="preserve">Explorar catálogo → agregar al carrito → checkout (elegir si un vendedor lo atendió) → pagar → seguir el pedido → confirmar recepción → dejar reseña</w:t>
      </w:r>
    </w:p>
    <w:p>
      <w:pPr>
        <w:spacing w:after="120"/>
      </w:pPr>
      <w:r>
        <w:rPr>
          <w:b/>
          <w:bCs/>
        </w:rPr>
        <w:t xml:space="preserve">Flujo alterno: </w:t>
      </w:r>
      <w:r>
        <w:t xml:space="preserve">El cliente puede guardar el carrito como cotización, sin pagar, y retomar la compra después</w:t>
      </w:r>
    </w:p>
    <w:p>
      <w:pPr>
        <w:spacing w:after="120"/>
      </w:pPr>
      <w:r>
        <w:rPr>
          <w:b/>
          <w:bCs/>
        </w:rPr>
        <w:t xml:space="preserve">Postcondición: </w:t>
      </w:r>
      <w:r>
        <w:t xml:space="preserve">El pedido queda registrado con su estado actualizado y, si corresponde, asociado a un vendedor para el cálculo de comisión</w:t>
      </w:r>
    </w:p>
    <w:p>
      <w:pPr>
        <w:spacing w:after="120"/>
      </w:pPr>
      <w:r>
        <w:rPr>
          <w:b/>
          <w:bCs/>
        </w:rPr>
        <w:t xml:space="preserve">Excepciones: </w:t>
      </w:r>
      <w:r>
        <w:t xml:space="preserve">Si la cantidad solicitada supera el inventario disponible, el sistema no permite continuar y explica cuánto hay disponible</w:t>
      </w:r>
    </w:p>
    <w:p>
      <w:pPr>
        <w:spacing w:after="120"/>
      </w:pPr>
      <w:r>
        <w:rPr>
          <w:b/>
          <w:bCs/>
        </w:rPr>
        <w:t xml:space="preserve">Reglas de negocio relacionadas: </w:t>
      </w:r>
      <w:r>
        <w:t xml:space="preserve">Descuento de inventario al generar el pedido; asociación opcional de vendedor en el checkout</w:t>
      </w:r>
    </w:p>
    <w:p>
      <w:pPr>
        <w:spacing w:after="120"/>
      </w:pPr>
      <w:r>
        <w:rPr>
          <w:b/>
          <w:bCs/>
        </w:rPr>
        <w:t xml:space="preserve">Frecuencia de uso: </w:t>
      </w:r>
      <w:r>
        <w:t xml:space="preserve">Alta — es el caso de uso central del sistema</w:t>
      </w:r>
    </w:p>
    <w:p>
      <w:pPr>
        <w:pStyle w:val="Heading2"/>
        <w:spacing w:after="140" w:before="260"/>
      </w:pPr>
      <w:r>
        <w:t xml:space="preserve">11.3 Especificación — Vender de forma asistida (Vendedor)</w:t>
      </w:r>
    </w:p>
    <w:p>
      <w:pPr>
        <w:spacing w:after="120"/>
      </w:pPr>
      <w:r>
        <w:rPr>
          <w:b/>
          <w:bCs/>
        </w:rPr>
        <w:t xml:space="preserve">Actor principal: </w:t>
      </w:r>
      <w:r>
        <w:t xml:space="preserve">Empleado (Vendedor)</w:t>
      </w:r>
    </w:p>
    <w:p>
      <w:pPr>
        <w:spacing w:after="120"/>
      </w:pPr>
      <w:r>
        <w:rPr>
          <w:b/>
          <w:bCs/>
        </w:rPr>
        <w:t xml:space="preserve">Precondición: </w:t>
      </w:r>
      <w:r>
        <w:t xml:space="preserve">El vendedor tiene sesión activa; el cliente ya tiene cuenta en el sistema</w:t>
      </w:r>
    </w:p>
    <w:p>
      <w:pPr>
        <w:spacing w:after="120"/>
      </w:pPr>
      <w:r>
        <w:rPr>
          <w:b/>
          <w:bCs/>
        </w:rPr>
        <w:t xml:space="preserve">Flujo principal: </w:t>
      </w:r>
      <w:r>
        <w:t xml:space="preserve">El vendedor busca al cliente por usuario o correo, arma el carrito por él, y confirma la compra en su nombre. El pedido nace ya asociado a ese vendedor para la comisión, sin que se le pregunte nada al cliente</w:t>
      </w:r>
    </w:p>
    <w:p>
      <w:pPr>
        <w:spacing w:after="120"/>
      </w:pPr>
      <w:r>
        <w:rPr>
          <w:b/>
          <w:bCs/>
        </w:rPr>
        <w:t xml:space="preserve">Postcondición: </w:t>
      </w:r>
      <w:r>
        <w:t xml:space="preserve">El pedido queda creado en estado Pendiente de pago, con vendedor_id igual al vendedor que hizo la venta asistida</w:t>
      </w:r>
    </w:p>
    <w:p>
      <w:pPr>
        <w:spacing w:after="120"/>
      </w:pPr>
      <w:r>
        <w:rPr>
          <w:b/>
          <w:bCs/>
        </w:rPr>
        <w:t xml:space="preserve">Regla aplicada: </w:t>
      </w:r>
      <w:r>
        <w:t xml:space="preserve">La venta asistida no solicita la clave del cliente; la sesión activa durante todo el proceso es la del vendedor, nunca la del cliente</w:t>
      </w:r>
    </w:p>
    <w:p>
      <w:pPr>
        <w:spacing w:after="120"/>
      </w:pPr>
      <w:r>
        <w:rPr>
          <w:b/>
          <w:bCs/>
        </w:rPr>
        <w:t xml:space="preserve">Excepciones: </w:t>
      </w:r>
      <w:r>
        <w:t xml:space="preserve">Si el cliente buscado no existe en el sistema, el vendedor no puede continuar con la venta asistida a su nombre</w:t>
      </w:r>
    </w:p>
    <w:p>
      <w:pPr>
        <w:spacing w:after="120"/>
      </w:pPr>
      <w:r>
        <w:rPr>
          <w:b/>
          <w:bCs/>
        </w:rPr>
        <w:t xml:space="preserve">Frecuencia de uso: </w:t>
      </w:r>
      <w:r>
        <w:t xml:space="preserve">Media — depende del volumen de venta presencial del negocio</w:t>
      </w:r>
    </w:p>
    <w:p>
      <w:pPr>
        <w:pStyle w:val="Heading2"/>
        <w:spacing w:after="140" w:before="260"/>
      </w:pPr>
      <w:r>
        <w:t xml:space="preserve">11.4 Especificación — Aceptar / rechazar compra (Jefe)</w:t>
      </w:r>
    </w:p>
    <w:p>
      <w:pPr>
        <w:spacing w:after="120"/>
      </w:pPr>
      <w:r>
        <w:rPr>
          <w:b/>
          <w:bCs/>
        </w:rPr>
        <w:t xml:space="preserve">Actor principal: </w:t>
      </w:r>
      <w:r>
        <w:t xml:space="preserve">Jefe</w:t>
      </w:r>
    </w:p>
    <w:p>
      <w:pPr>
        <w:spacing w:after="120"/>
      </w:pPr>
      <w:r>
        <w:rPr>
          <w:b/>
          <w:bCs/>
        </w:rPr>
        <w:t xml:space="preserve">Precondición: </w:t>
      </w:r>
      <w:r>
        <w:t xml:space="preserve">El pedido tiene el pago verificado por el vendedor (estado Pendiente de aceptación)</w:t>
      </w:r>
    </w:p>
    <w:p>
      <w:pPr>
        <w:spacing w:after="120"/>
      </w:pPr>
      <w:r>
        <w:rPr>
          <w:b/>
          <w:bCs/>
        </w:rPr>
        <w:t xml:space="preserve">Flujo principal: </w:t>
      </w:r>
      <w:r>
        <w:t xml:space="preserve">El Jefe revisa la cola de pagos verificados y acepta o rechaza cada pedido</w:t>
      </w:r>
    </w:p>
    <w:p>
      <w:pPr>
        <w:spacing w:after="120"/>
      </w:pPr>
      <w:r>
        <w:rPr>
          <w:b/>
          <w:bCs/>
        </w:rPr>
        <w:t xml:space="preserve">Flujo alterno — aceptación: </w:t>
      </w:r>
      <w:r>
        <w:t xml:space="preserve">Al aceptar, el pedido pasa a Pagado y, si tiene vendedor asociado, se calcula automáticamente la comisión (suma de subtotal de cada línea por su porcentaje)</w:t>
      </w:r>
    </w:p>
    <w:p>
      <w:pPr>
        <w:spacing w:after="120"/>
      </w:pPr>
      <w:r>
        <w:rPr>
          <w:b/>
          <w:bCs/>
        </w:rPr>
        <w:t xml:space="preserve">Flujo alterno — rechazo: </w:t>
      </w:r>
      <w:r>
        <w:t xml:space="preserve">El sistema exige un motivo antes de permitir el rechazo; al confirmarse, se repone el inventario y se anula la comisión si ya se había calculado</w:t>
      </w:r>
    </w:p>
    <w:p>
      <w:pPr>
        <w:spacing w:after="120"/>
      </w:pPr>
      <w:r>
        <w:rPr>
          <w:b/>
          <w:bCs/>
        </w:rPr>
        <w:t xml:space="preserve">Frecuencia de uso: </w:t>
      </w:r>
      <w:r>
        <w:t xml:space="preserve">Alta — todo pedido pagado pasa por este caso de uso</w:t>
      </w:r>
    </w:p>
    <w:p>
      <w:pPr>
        <w:pStyle w:val="Heading2"/>
        <w:spacing w:after="140" w:before="260"/>
      </w:pPr>
      <w:r>
        <w:t xml:space="preserve">11.5 Especificación — Confirmar pago recibido (Vendedor)</w:t>
      </w:r>
    </w:p>
    <w:p>
      <w:pPr>
        <w:spacing w:after="120"/>
      </w:pPr>
      <w:r>
        <w:rPr>
          <w:b/>
          <w:bCs/>
        </w:rPr>
        <w:t xml:space="preserve">Actor principal: </w:t>
      </w:r>
      <w:r>
        <w:t xml:space="preserve">Empleado (Vendedor)</w:t>
      </w:r>
    </w:p>
    <w:p>
      <w:pPr>
        <w:spacing w:after="120"/>
      </w:pPr>
      <w:r>
        <w:rPr>
          <w:b/>
          <w:bCs/>
        </w:rPr>
        <w:t xml:space="preserve">Precondición: </w:t>
      </w:r>
      <w:r>
        <w:t xml:space="preserve">Existe un pedido en estado Pago en verificación, con comprobante o referencia de pasarela</w:t>
      </w:r>
    </w:p>
    <w:p>
      <w:pPr>
        <w:spacing w:after="120"/>
      </w:pPr>
      <w:r>
        <w:rPr>
          <w:b/>
          <w:bCs/>
        </w:rPr>
        <w:t xml:space="preserve">Flujo principal: </w:t>
      </w:r>
      <w:r>
        <w:t xml:space="preserve">El vendedor revisa la referencia y el comprobante del pago, y confirma cuando el dinero está realmente en la cuenta del negocio</w:t>
      </w:r>
    </w:p>
    <w:p>
      <w:pPr>
        <w:spacing w:after="120"/>
      </w:pPr>
      <w:r>
        <w:rPr>
          <w:b/>
          <w:bCs/>
        </w:rPr>
        <w:t xml:space="preserve">Postcondición: </w:t>
      </w:r>
      <w:r>
        <w:t xml:space="preserve">El pedido pasa a estado Pendiente de aceptación del jefe</w:t>
      </w:r>
    </w:p>
    <w:p>
      <w:pPr>
        <w:spacing w:after="120"/>
      </w:pPr>
      <w:r>
        <w:rPr>
          <w:b/>
          <w:bCs/>
        </w:rPr>
        <w:t xml:space="preserve">Nota: </w:t>
      </w:r>
      <w:r>
        <w:t xml:space="preserve">Confirmar el pago no es lo mismo que haber referido la venta: si el vendedor asociado al pedido es el mismo que confirma el pago, de todas formas gana comisión, pero solo por haber sido el vendedor asociado, no por confirmar</w:t>
      </w:r>
    </w:p>
    <w:p>
      <w:pPr>
        <w:pStyle w:val="Heading2"/>
        <w:spacing w:after="140" w:before="260"/>
      </w:pPr>
      <w:r>
        <w:t xml:space="preserve">11.6 Especificación — Usar el chatbot (Cliente)</w:t>
      </w:r>
    </w:p>
    <w:p>
      <w:pPr>
        <w:spacing w:after="120"/>
      </w:pPr>
      <w:r>
        <w:rPr>
          <w:b/>
          <w:bCs/>
        </w:rPr>
        <w:t xml:space="preserve">Actor principal: </w:t>
      </w:r>
      <w:r>
        <w:t xml:space="preserve">Cliente</w:t>
      </w:r>
    </w:p>
    <w:p>
      <w:pPr>
        <w:spacing w:after="120"/>
      </w:pPr>
      <w:r>
        <w:rPr>
          <w:b/>
          <w:bCs/>
        </w:rPr>
        <w:t xml:space="preserve">Precondición: </w:t>
      </w:r>
      <w:r>
        <w:t xml:space="preserve">Ninguna estricta; responde mejor si el cliente está autenticado</w:t>
      </w:r>
    </w:p>
    <w:p>
      <w:pPr>
        <w:spacing w:after="120"/>
      </w:pPr>
      <w:r>
        <w:rPr>
          <w:b/>
          <w:bCs/>
        </w:rPr>
        <w:t xml:space="preserve">Flujo principal: </w:t>
      </w:r>
      <w:r>
        <w:t xml:space="preserve">El cliente pregunta por su pedido, el catálogo u otra duda frecuente; el chatbot responde con datos reales cuando la pregunta lo requiere</w:t>
      </w:r>
    </w:p>
    <w:p>
      <w:pPr>
        <w:spacing w:after="120"/>
      </w:pPr>
      <w:r>
        <w:rPr>
          <w:b/>
          <w:bCs/>
        </w:rPr>
        <w:t xml:space="preserve">Flujo alterno: </w:t>
      </w:r>
      <w:r>
        <w:t xml:space="preserve">Si el servicio externo de IA no está disponible, responde con el motor de reglas de respaldo (RNF-03)</w:t>
      </w:r>
    </w:p>
    <w:p>
      <w:pPr>
        <w:spacing w:after="120"/>
      </w:pPr>
      <w:r>
        <w:rPr>
          <w:b/>
          <w:bCs/>
        </w:rPr>
        <w:t xml:space="preserve">Frecuencia de uso: </w:t>
      </w:r>
      <w:r>
        <w:t xml:space="preserve">Media a alta, según el volumen de consultas de estado de pedido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UrbanStep — 6.1 Análisis — Doc. 11/14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6414c2662f4ddfb1d9cb60551603a1eb705dfc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2026-09-04T19:28:39.584Z</dcterms:created>
  <dcterms:modified xsi:type="dcterms:W3CDTF">2026-09-04T19:28:39.584Z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