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before="300"/>
      </w:pPr>
    </w:p>
    <w:p>
      <w:pPr>
        <w:jc w:val="center"/>
      </w:pPr>
      <w:r>
        <w:rPr>
          <w:b/>
          <w:bCs/>
          <w:color w:val="0B0E14"/>
          <w:sz w:val="48"/>
          <w:szCs w:val="48"/>
        </w:rPr>
        <w:t xml:space="preserve">URBANSTEP</w:t>
      </w:r>
    </w:p>
    <w:p>
      <w:pPr>
        <w:spacing w:before="100"/>
        <w:jc w:val="center"/>
      </w:pPr>
      <w:r>
        <w:rPr>
          <w:color w:val="595959"/>
          <w:sz w:val="22"/>
          <w:szCs w:val="22"/>
        </w:rPr>
        <w:t xml:space="preserve">Sistema de información empresarial para tienda de ropa y calzado urbano</w:t>
      </w:r>
    </w:p>
    <w:p>
      <w:pPr>
        <w:spacing w:before="700"/>
      </w:pPr>
    </w:p>
    <w:p>
      <w:pPr>
        <w:jc w:val="center"/>
      </w:pPr>
      <w:r>
        <w:rPr>
          <w:b/>
          <w:bCs/>
          <w:color w:val="7CB518"/>
          <w:sz w:val="22"/>
          <w:szCs w:val="22"/>
        </w:rPr>
        <w:t xml:space="preserve">Documento 12 de 14</w:t>
      </w:r>
    </w:p>
    <w:p>
      <w:pPr>
        <w:spacing w:before="150"/>
        <w:jc w:val="center"/>
      </w:pPr>
      <w:r>
        <w:rPr>
          <w:b/>
          <w:bCs/>
          <w:color w:val="0B0E14"/>
          <w:sz w:val="40"/>
          <w:szCs w:val="40"/>
        </w:rPr>
        <w:t xml:space="preserve">Priorización de requisitos</w:t>
      </w:r>
    </w:p>
    <w:p>
      <w:pPr>
        <w:spacing w:before="150"/>
        <w:jc w:val="center"/>
      </w:pPr>
      <w:r>
        <w:rPr>
          <w:i/>
          <w:iCs/>
          <w:color w:val="595959"/>
          <w:sz w:val="24"/>
          <w:szCs w:val="24"/>
        </w:rPr>
        <w:t xml:space="preserve">Criterio de priorización aplicado y el resultado por requisito</w:t>
      </w:r>
    </w:p>
    <w:p>
      <w:pPr>
        <w:spacing w:before="900"/>
      </w:pPr>
    </w:p>
    <w:p>
      <w:pPr>
        <w:jc w:val="center"/>
      </w:pPr>
      <w:r>
        <w:rPr>
          <w:b/>
          <w:bCs/>
          <w:sz w:val="22"/>
          <w:szCs w:val="22"/>
        </w:rPr>
        <w:t xml:space="preserve">Fase 6.1 — Análisis</w:t>
      </w:r>
    </w:p>
    <w:p>
      <w:pPr>
        <w:spacing w:before="60"/>
        <w:jc w:val="center"/>
      </w:pPr>
      <w:r>
        <w:rPr>
          <w:color w:val="595959"/>
          <w:sz w:val="20"/>
          <w:szCs w:val="20"/>
        </w:rPr>
        <w:t xml:space="preserve">Asignatura: Desarrollo de Aplicaciones Empresariales</w:t>
      </w:r>
    </w:p>
    <w:p>
      <w:pPr>
        <w:jc w:val="center"/>
      </w:pPr>
      <w:r>
        <w:rPr>
          <w:color w:val="595959"/>
          <w:sz w:val="20"/>
          <w:szCs w:val="20"/>
        </w:rPr>
        <w:t xml:space="preserve">Unidades Tecnológicas de Santander (UTS)</w:t>
      </w:r>
    </w:p>
    <w:p>
      <w:r>
        <w:br w:type="page"/>
      </w:r>
    </w:p>
    <w:p>
      <w:pPr>
        <w:spacing w:after="300"/>
      </w:pPr>
      <w:r>
        <w:rPr>
          <w:b/>
          <w:bCs/>
          <w:color w:val="0B0E14"/>
          <w:sz w:val="32"/>
          <w:szCs w:val="32"/>
        </w:rPr>
        <w:t xml:space="preserve">Priorización de requisitos</w:t>
      </w:r>
    </w:p>
    <w:p>
      <w:pPr>
        <w:pStyle w:val="Heading2"/>
        <w:spacing w:after="140" w:before="260"/>
      </w:pPr>
      <w:r>
        <w:t xml:space="preserve">12.1 Metodología</w:t>
      </w:r>
    </w:p>
    <w:p>
      <w:pPr>
        <w:spacing w:after="160"/>
      </w:pPr>
      <w:r>
        <w:t xml:space="preserve">La priorización se definió con tres niveles (Alta / Media / Baja), según el impacto del requisito en la operación del negocio y en la integridad de los datos financieros y de inventario. Un requisito se marcó como Alta cuando su ausencia comprometería directamente el dinero, el inventario o la seguridad de acceso del sistema; como Media cuando mejora la experiencia o la información disponible sin poner en riesgo la operación; y como Baja cuando es deseable pero no crítico para el ciclo de negocio.</w:t>
      </w:r>
    </w:p>
    <w:p>
      <w:pPr>
        <w:spacing w:after="160"/>
      </w:pPr>
      <w:r>
        <w:t xml:space="preserve">Este criterio equivale, en términos de MoSCoW, a tratar los requisitos de prioridad Alta como Must have, los de Media como Should have, y a no tener, en este proyecto, requisitos marcados como Could have o Won't have dentro del alcance definido — las funciones opcionales quedaron directamente registradas como exclusiones (ver 04-Alcance-Exclusiones).</w:t>
      </w:r>
    </w:p>
    <w:p>
      <w:pPr>
        <w:pStyle w:val="Heading2"/>
        <w:spacing w:after="140" w:before="260"/>
      </w:pPr>
      <w:r>
        <w:t xml:space="preserve">12.2 Requisitos por prioridad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1900"/>
        <w:gridCol w:w="2000"/>
      </w:tblGrid>
      <w:tr>
        <w:trPr>
          <w:tblHeader/>
        </w:trPr>
        <w:tc>
          <w:tcPr>
            <w:tcW w:type="dxa" w:w="1000"/>
            <w:shd w:fill="D9E8CF" w:color="auto" w:val="clear"/>
            <w:tcMar>
              <w:top w:type="dxa" w:w="60"/>
              <w:left w:type="dxa" w:w="100"/>
              <w:bottom w:type="dxa" w:w="60"/>
              <w:right w:type="dxa" w:w="100"/>
            </w:tcMar>
            <w:vAlign w:val="center"/>
          </w:tcPr>
          <w:p>
            <w:pPr>
              <w:jc w:val="left"/>
            </w:pPr>
            <w:r>
              <w:rPr>
                <w:b/>
                <w:bCs/>
              </w:rPr>
              <w:t xml:space="preserve">ID</w:t>
            </w:r>
          </w:p>
        </w:tc>
        <w:tc>
          <w:tcPr>
            <w:tcW w:type="dxa" w:w="4700"/>
            <w:shd w:fill="D9E8CF" w:color="auto" w:val="clear"/>
            <w:tcMar>
              <w:top w:type="dxa" w:w="60"/>
              <w:left w:type="dxa" w:w="100"/>
              <w:bottom w:type="dxa" w:w="60"/>
              <w:right w:type="dxa" w:w="100"/>
            </w:tcMar>
            <w:vAlign w:val="center"/>
          </w:tcPr>
          <w:p>
            <w:pPr>
              <w:jc w:val="left"/>
            </w:pPr>
            <w:r>
              <w:rPr>
                <w:b/>
                <w:bCs/>
              </w:rPr>
              <w:t xml:space="preserve">Requisito</w:t>
            </w:r>
          </w:p>
        </w:tc>
        <w:tc>
          <w:tcPr>
            <w:tcW w:type="dxa" w:w="1900"/>
            <w:shd w:fill="D9E8CF" w:color="auto" w:val="clear"/>
            <w:tcMar>
              <w:top w:type="dxa" w:w="60"/>
              <w:left w:type="dxa" w:w="100"/>
              <w:bottom w:type="dxa" w:w="60"/>
              <w:right w:type="dxa" w:w="100"/>
            </w:tcMar>
            <w:vAlign w:val="center"/>
          </w:tcPr>
          <w:p>
            <w:pPr>
              <w:jc w:val="left"/>
            </w:pPr>
            <w:r>
              <w:rPr>
                <w:b/>
                <w:bCs/>
              </w:rPr>
              <w:t xml:space="preserve">Módulo</w:t>
            </w:r>
          </w:p>
        </w:tc>
        <w:tc>
          <w:tcPr>
            <w:tcW w:type="dxa" w:w="2000"/>
            <w:shd w:fill="D9E8CF" w:color="auto" w:val="clear"/>
            <w:tcMar>
              <w:top w:type="dxa" w:w="60"/>
              <w:left w:type="dxa" w:w="100"/>
              <w:bottom w:type="dxa" w:w="60"/>
              <w:right w:type="dxa" w:w="100"/>
            </w:tcMar>
            <w:vAlign w:val="center"/>
          </w:tcPr>
          <w:p>
            <w:pPr>
              <w:jc w:val="left"/>
            </w:pPr>
            <w:r>
              <w:rPr>
                <w:b/>
                <w:bCs/>
              </w:rPr>
              <w:t xml:space="preserve">Prioridad</w:t>
            </w:r>
          </w:p>
        </w:tc>
      </w:tr>
      <w:tr>
        <w:tc>
          <w:tcPr>
            <w:tcW w:type="dxa" w:w="1000"/>
            <w:tcMar>
              <w:top w:type="dxa" w:w="60"/>
              <w:left w:type="dxa" w:w="100"/>
              <w:bottom w:type="dxa" w:w="60"/>
              <w:right w:type="dxa" w:w="100"/>
            </w:tcMar>
            <w:vAlign w:val="center"/>
          </w:tcPr>
          <w:p>
            <w:pPr>
              <w:jc w:val="left"/>
            </w:pPr>
            <w:r>
              <w:rPr>
                <w:b w:val="false"/>
                <w:bCs w:val="false"/>
              </w:rPr>
              <w:t xml:space="preserve">RF-01</w:t>
            </w:r>
          </w:p>
        </w:tc>
        <w:tc>
          <w:tcPr>
            <w:tcW w:type="dxa" w:w="4700"/>
            <w:tcMar>
              <w:top w:type="dxa" w:w="60"/>
              <w:left w:type="dxa" w:w="100"/>
              <w:bottom w:type="dxa" w:w="60"/>
              <w:right w:type="dxa" w:w="100"/>
            </w:tcMar>
            <w:vAlign w:val="center"/>
          </w:tcPr>
          <w:p>
            <w:pPr>
              <w:jc w:val="left"/>
            </w:pPr>
            <w:r>
              <w:rPr>
                <w:b w:val="false"/>
                <w:bCs w:val="false"/>
              </w:rPr>
              <w:t xml:space="preserve">Registro de usuarios</w:t>
            </w:r>
          </w:p>
        </w:tc>
        <w:tc>
          <w:tcPr>
            <w:tcW w:type="dxa" w:w="1900"/>
            <w:tcMar>
              <w:top w:type="dxa" w:w="60"/>
              <w:left w:type="dxa" w:w="100"/>
              <w:bottom w:type="dxa" w:w="60"/>
              <w:right w:type="dxa" w:w="100"/>
            </w:tcMar>
            <w:vAlign w:val="center"/>
          </w:tcPr>
          <w:p>
            <w:pPr>
              <w:jc w:val="left"/>
            </w:pPr>
            <w:r>
              <w:rPr>
                <w:b w:val="false"/>
                <w:bCs w:val="false"/>
              </w:rPr>
              <w:t xml:space="preserve">Autenticación</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RF-04</w:t>
            </w:r>
          </w:p>
        </w:tc>
        <w:tc>
          <w:tcPr>
            <w:tcW w:type="dxa" w:w="4700"/>
            <w:tcMar>
              <w:top w:type="dxa" w:w="60"/>
              <w:left w:type="dxa" w:w="100"/>
              <w:bottom w:type="dxa" w:w="60"/>
              <w:right w:type="dxa" w:w="100"/>
            </w:tcMar>
            <w:vAlign w:val="center"/>
          </w:tcPr>
          <w:p>
            <w:pPr>
              <w:jc w:val="left"/>
            </w:pPr>
            <w:r>
              <w:rPr>
                <w:b w:val="false"/>
                <w:bCs w:val="false"/>
              </w:rPr>
              <w:t xml:space="preserve">Contraseñas cifradas</w:t>
            </w:r>
          </w:p>
        </w:tc>
        <w:tc>
          <w:tcPr>
            <w:tcW w:type="dxa" w:w="1900"/>
            <w:tcMar>
              <w:top w:type="dxa" w:w="60"/>
              <w:left w:type="dxa" w:w="100"/>
              <w:bottom w:type="dxa" w:w="60"/>
              <w:right w:type="dxa" w:w="100"/>
            </w:tcMar>
            <w:vAlign w:val="center"/>
          </w:tcPr>
          <w:p>
            <w:pPr>
              <w:jc w:val="left"/>
            </w:pPr>
            <w:r>
              <w:rPr>
                <w:b w:val="false"/>
                <w:bCs w:val="false"/>
              </w:rPr>
              <w:t xml:space="preserve">Autenticación</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RF-05</w:t>
            </w:r>
          </w:p>
        </w:tc>
        <w:tc>
          <w:tcPr>
            <w:tcW w:type="dxa" w:w="4700"/>
            <w:tcMar>
              <w:top w:type="dxa" w:w="60"/>
              <w:left w:type="dxa" w:w="100"/>
              <w:bottom w:type="dxa" w:w="60"/>
              <w:right w:type="dxa" w:w="100"/>
            </w:tcMar>
            <w:vAlign w:val="center"/>
          </w:tcPr>
          <w:p>
            <w:pPr>
              <w:jc w:val="left"/>
            </w:pPr>
            <w:r>
              <w:rPr>
                <w:b w:val="false"/>
                <w:bCs w:val="false"/>
              </w:rPr>
              <w:t xml:space="preserve">Cuatro roles con subtipo</w:t>
            </w:r>
          </w:p>
        </w:tc>
        <w:tc>
          <w:tcPr>
            <w:tcW w:type="dxa" w:w="1900"/>
            <w:tcMar>
              <w:top w:type="dxa" w:w="60"/>
              <w:left w:type="dxa" w:w="100"/>
              <w:bottom w:type="dxa" w:w="60"/>
              <w:right w:type="dxa" w:w="100"/>
            </w:tcMar>
            <w:vAlign w:val="center"/>
          </w:tcPr>
          <w:p>
            <w:pPr>
              <w:jc w:val="left"/>
            </w:pPr>
            <w:r>
              <w:rPr>
                <w:b w:val="false"/>
                <w:bCs w:val="false"/>
              </w:rPr>
              <w:t xml:space="preserve">Autenticación</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RF-06</w:t>
            </w:r>
          </w:p>
        </w:tc>
        <w:tc>
          <w:tcPr>
            <w:tcW w:type="dxa" w:w="4700"/>
            <w:tcMar>
              <w:top w:type="dxa" w:w="60"/>
              <w:left w:type="dxa" w:w="100"/>
              <w:bottom w:type="dxa" w:w="60"/>
              <w:right w:type="dxa" w:w="100"/>
            </w:tcMar>
            <w:vAlign w:val="center"/>
          </w:tcPr>
          <w:p>
            <w:pPr>
              <w:jc w:val="left"/>
            </w:pPr>
            <w:r>
              <w:rPr>
                <w:b w:val="false"/>
                <w:bCs w:val="false"/>
              </w:rPr>
              <w:t xml:space="preserve">Restringir funciones por rol</w:t>
            </w:r>
          </w:p>
        </w:tc>
        <w:tc>
          <w:tcPr>
            <w:tcW w:type="dxa" w:w="1900"/>
            <w:tcMar>
              <w:top w:type="dxa" w:w="60"/>
              <w:left w:type="dxa" w:w="100"/>
              <w:bottom w:type="dxa" w:w="60"/>
              <w:right w:type="dxa" w:w="100"/>
            </w:tcMar>
            <w:vAlign w:val="center"/>
          </w:tcPr>
          <w:p>
            <w:pPr>
              <w:jc w:val="left"/>
            </w:pPr>
            <w:r>
              <w:rPr>
                <w:b w:val="false"/>
                <w:bCs w:val="false"/>
              </w:rPr>
              <w:t xml:space="preserve">Seguridad</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RF-07</w:t>
            </w:r>
          </w:p>
        </w:tc>
        <w:tc>
          <w:tcPr>
            <w:tcW w:type="dxa" w:w="4700"/>
            <w:tcMar>
              <w:top w:type="dxa" w:w="60"/>
              <w:left w:type="dxa" w:w="100"/>
              <w:bottom w:type="dxa" w:w="60"/>
              <w:right w:type="dxa" w:w="100"/>
            </w:tcMar>
            <w:vAlign w:val="center"/>
          </w:tcPr>
          <w:p>
            <w:pPr>
              <w:jc w:val="left"/>
            </w:pPr>
            <w:r>
              <w:rPr>
                <w:b w:val="false"/>
                <w:bCs w:val="false"/>
              </w:rPr>
              <w:t xml:space="preserve">CRUD de productos</w:t>
            </w:r>
          </w:p>
        </w:tc>
        <w:tc>
          <w:tcPr>
            <w:tcW w:type="dxa" w:w="1900"/>
            <w:tcMar>
              <w:top w:type="dxa" w:w="60"/>
              <w:left w:type="dxa" w:w="100"/>
              <w:bottom w:type="dxa" w:w="60"/>
              <w:right w:type="dxa" w:w="100"/>
            </w:tcMar>
            <w:vAlign w:val="center"/>
          </w:tcPr>
          <w:p>
            <w:pPr>
              <w:jc w:val="left"/>
            </w:pPr>
            <w:r>
              <w:rPr>
                <w:b w:val="false"/>
                <w:bCs w:val="false"/>
              </w:rPr>
              <w:t xml:space="preserve">Catálogo</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RF-10</w:t>
            </w:r>
          </w:p>
        </w:tc>
        <w:tc>
          <w:tcPr>
            <w:tcW w:type="dxa" w:w="4700"/>
            <w:tcMar>
              <w:top w:type="dxa" w:w="60"/>
              <w:left w:type="dxa" w:w="100"/>
              <w:bottom w:type="dxa" w:w="60"/>
              <w:right w:type="dxa" w:w="100"/>
            </w:tcMar>
            <w:vAlign w:val="center"/>
          </w:tcPr>
          <w:p>
            <w:pPr>
              <w:jc w:val="left"/>
            </w:pPr>
            <w:r>
              <w:rPr>
                <w:b w:val="false"/>
                <w:bCs w:val="false"/>
              </w:rPr>
              <w:t xml:space="preserve">Controlar cantidad disponible</w:t>
            </w:r>
          </w:p>
        </w:tc>
        <w:tc>
          <w:tcPr>
            <w:tcW w:type="dxa" w:w="1900"/>
            <w:tcMar>
              <w:top w:type="dxa" w:w="60"/>
              <w:left w:type="dxa" w:w="100"/>
              <w:bottom w:type="dxa" w:w="60"/>
              <w:right w:type="dxa" w:w="100"/>
            </w:tcMar>
            <w:vAlign w:val="center"/>
          </w:tcPr>
          <w:p>
            <w:pPr>
              <w:jc w:val="left"/>
            </w:pPr>
            <w:r>
              <w:rPr>
                <w:b w:val="false"/>
                <w:bCs w:val="false"/>
              </w:rPr>
              <w:t xml:space="preserve">Inventario</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RF-11</w:t>
            </w:r>
          </w:p>
        </w:tc>
        <w:tc>
          <w:tcPr>
            <w:tcW w:type="dxa" w:w="4700"/>
            <w:tcMar>
              <w:top w:type="dxa" w:w="60"/>
              <w:left w:type="dxa" w:w="100"/>
              <w:bottom w:type="dxa" w:w="60"/>
              <w:right w:type="dxa" w:w="100"/>
            </w:tcMar>
            <w:vAlign w:val="center"/>
          </w:tcPr>
          <w:p>
            <w:pPr>
              <w:jc w:val="left"/>
            </w:pPr>
            <w:r>
              <w:rPr>
                <w:b w:val="false"/>
                <w:bCs w:val="false"/>
              </w:rPr>
              <w:t xml:space="preserve">Impedir comprar de más</w:t>
            </w:r>
          </w:p>
        </w:tc>
        <w:tc>
          <w:tcPr>
            <w:tcW w:type="dxa" w:w="1900"/>
            <w:tcMar>
              <w:top w:type="dxa" w:w="60"/>
              <w:left w:type="dxa" w:w="100"/>
              <w:bottom w:type="dxa" w:w="60"/>
              <w:right w:type="dxa" w:w="100"/>
            </w:tcMar>
            <w:vAlign w:val="center"/>
          </w:tcPr>
          <w:p>
            <w:pPr>
              <w:jc w:val="left"/>
            </w:pPr>
            <w:r>
              <w:rPr>
                <w:b w:val="false"/>
                <w:bCs w:val="false"/>
              </w:rPr>
              <w:t xml:space="preserve">Inventario</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RF-12</w:t>
            </w:r>
          </w:p>
        </w:tc>
        <w:tc>
          <w:tcPr>
            <w:tcW w:type="dxa" w:w="4700"/>
            <w:tcMar>
              <w:top w:type="dxa" w:w="60"/>
              <w:left w:type="dxa" w:w="100"/>
              <w:bottom w:type="dxa" w:w="60"/>
              <w:right w:type="dxa" w:w="100"/>
            </w:tcMar>
            <w:vAlign w:val="center"/>
          </w:tcPr>
          <w:p>
            <w:pPr>
              <w:jc w:val="left"/>
            </w:pPr>
            <w:r>
              <w:rPr>
                <w:b w:val="false"/>
                <w:bCs w:val="false"/>
              </w:rPr>
              <w:t xml:space="preserve">Alertar stock mínimo</w:t>
            </w:r>
          </w:p>
        </w:tc>
        <w:tc>
          <w:tcPr>
            <w:tcW w:type="dxa" w:w="1900"/>
            <w:tcMar>
              <w:top w:type="dxa" w:w="60"/>
              <w:left w:type="dxa" w:w="100"/>
              <w:bottom w:type="dxa" w:w="60"/>
              <w:right w:type="dxa" w:w="100"/>
            </w:tcMar>
            <w:vAlign w:val="center"/>
          </w:tcPr>
          <w:p>
            <w:pPr>
              <w:jc w:val="left"/>
            </w:pPr>
            <w:r>
              <w:rPr>
                <w:b w:val="false"/>
                <w:bCs w:val="false"/>
              </w:rPr>
              <w:t xml:space="preserve">Inventario</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RF-13</w:t>
            </w:r>
          </w:p>
        </w:tc>
        <w:tc>
          <w:tcPr>
            <w:tcW w:type="dxa" w:w="4700"/>
            <w:tcMar>
              <w:top w:type="dxa" w:w="60"/>
              <w:left w:type="dxa" w:w="100"/>
              <w:bottom w:type="dxa" w:w="60"/>
              <w:right w:type="dxa" w:w="100"/>
            </w:tcMar>
            <w:vAlign w:val="center"/>
          </w:tcPr>
          <w:p>
            <w:pPr>
              <w:jc w:val="left"/>
            </w:pPr>
            <w:r>
              <w:rPr>
                <w:b w:val="false"/>
                <w:bCs w:val="false"/>
              </w:rPr>
              <w:t xml:space="preserve">Actualizar inventario al generar pedido</w:t>
            </w:r>
          </w:p>
        </w:tc>
        <w:tc>
          <w:tcPr>
            <w:tcW w:type="dxa" w:w="1900"/>
            <w:tcMar>
              <w:top w:type="dxa" w:w="60"/>
              <w:left w:type="dxa" w:w="100"/>
              <w:bottom w:type="dxa" w:w="60"/>
              <w:right w:type="dxa" w:w="100"/>
            </w:tcMar>
            <w:vAlign w:val="center"/>
          </w:tcPr>
          <w:p>
            <w:pPr>
              <w:jc w:val="left"/>
            </w:pPr>
            <w:r>
              <w:rPr>
                <w:b w:val="false"/>
                <w:bCs w:val="false"/>
              </w:rPr>
              <w:t xml:space="preserve">Inventario</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RF-14</w:t>
            </w:r>
          </w:p>
        </w:tc>
        <w:tc>
          <w:tcPr>
            <w:tcW w:type="dxa" w:w="4700"/>
            <w:tcMar>
              <w:top w:type="dxa" w:w="60"/>
              <w:left w:type="dxa" w:w="100"/>
              <w:bottom w:type="dxa" w:w="60"/>
              <w:right w:type="dxa" w:w="100"/>
            </w:tcMar>
            <w:vAlign w:val="center"/>
          </w:tcPr>
          <w:p>
            <w:pPr>
              <w:jc w:val="left"/>
            </w:pPr>
            <w:r>
              <w:rPr>
                <w:b w:val="false"/>
                <w:bCs w:val="false"/>
              </w:rPr>
              <w:t xml:space="preserve">Carrito de compras</w:t>
            </w:r>
          </w:p>
        </w:tc>
        <w:tc>
          <w:tcPr>
            <w:tcW w:type="dxa" w:w="1900"/>
            <w:tcMar>
              <w:top w:type="dxa" w:w="60"/>
              <w:left w:type="dxa" w:w="100"/>
              <w:bottom w:type="dxa" w:w="60"/>
              <w:right w:type="dxa" w:w="100"/>
            </w:tcMar>
            <w:vAlign w:val="center"/>
          </w:tcPr>
          <w:p>
            <w:pPr>
              <w:jc w:val="left"/>
            </w:pPr>
            <w:r>
              <w:rPr>
                <w:b w:val="false"/>
                <w:bCs w:val="false"/>
              </w:rPr>
              <w:t xml:space="preserve">Ventas</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RF-15</w:t>
            </w:r>
          </w:p>
        </w:tc>
        <w:tc>
          <w:tcPr>
            <w:tcW w:type="dxa" w:w="4700"/>
            <w:tcMar>
              <w:top w:type="dxa" w:w="60"/>
              <w:left w:type="dxa" w:w="100"/>
              <w:bottom w:type="dxa" w:w="60"/>
              <w:right w:type="dxa" w:w="100"/>
            </w:tcMar>
            <w:vAlign w:val="center"/>
          </w:tcPr>
          <w:p>
            <w:pPr>
              <w:jc w:val="left"/>
            </w:pPr>
            <w:r>
              <w:rPr>
                <w:b w:val="false"/>
                <w:bCs w:val="false"/>
              </w:rPr>
              <w:t xml:space="preserve">Gestión de pedidos con estados</w:t>
            </w:r>
          </w:p>
        </w:tc>
        <w:tc>
          <w:tcPr>
            <w:tcW w:type="dxa" w:w="1900"/>
            <w:tcMar>
              <w:top w:type="dxa" w:w="60"/>
              <w:left w:type="dxa" w:w="100"/>
              <w:bottom w:type="dxa" w:w="60"/>
              <w:right w:type="dxa" w:w="100"/>
            </w:tcMar>
            <w:vAlign w:val="center"/>
          </w:tcPr>
          <w:p>
            <w:pPr>
              <w:jc w:val="left"/>
            </w:pPr>
            <w:r>
              <w:rPr>
                <w:b w:val="false"/>
                <w:bCs w:val="false"/>
              </w:rPr>
              <w:t xml:space="preserve">Ventas</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RF-16</w:t>
            </w:r>
          </w:p>
        </w:tc>
        <w:tc>
          <w:tcPr>
            <w:tcW w:type="dxa" w:w="4700"/>
            <w:tcMar>
              <w:top w:type="dxa" w:w="60"/>
              <w:left w:type="dxa" w:w="100"/>
              <w:bottom w:type="dxa" w:w="60"/>
              <w:right w:type="dxa" w:w="100"/>
            </w:tcMar>
            <w:vAlign w:val="center"/>
          </w:tcPr>
          <w:p>
            <w:pPr>
              <w:jc w:val="left"/>
            </w:pPr>
            <w:r>
              <w:rPr>
                <w:b w:val="false"/>
                <w:bCs w:val="false"/>
              </w:rPr>
              <w:t xml:space="preserve">Panel con 6 indicadores</w:t>
            </w:r>
          </w:p>
        </w:tc>
        <w:tc>
          <w:tcPr>
            <w:tcW w:type="dxa" w:w="1900"/>
            <w:tcMar>
              <w:top w:type="dxa" w:w="60"/>
              <w:left w:type="dxa" w:w="100"/>
              <w:bottom w:type="dxa" w:w="60"/>
              <w:right w:type="dxa" w:w="100"/>
            </w:tcMar>
            <w:vAlign w:val="center"/>
          </w:tcPr>
          <w:p>
            <w:pPr>
              <w:jc w:val="left"/>
            </w:pPr>
            <w:r>
              <w:rPr>
                <w:b w:val="false"/>
                <w:bCs w:val="false"/>
              </w:rPr>
              <w:t xml:space="preserve">Administración</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RF-17</w:t>
            </w:r>
          </w:p>
        </w:tc>
        <w:tc>
          <w:tcPr>
            <w:tcW w:type="dxa" w:w="4700"/>
            <w:tcMar>
              <w:top w:type="dxa" w:w="60"/>
              <w:left w:type="dxa" w:w="100"/>
              <w:bottom w:type="dxa" w:w="60"/>
              <w:right w:type="dxa" w:w="100"/>
            </w:tcMar>
            <w:vAlign w:val="center"/>
          </w:tcPr>
          <w:p>
            <w:pPr>
              <w:jc w:val="left"/>
            </w:pPr>
            <w:r>
              <w:rPr>
                <w:b w:val="false"/>
                <w:bCs w:val="false"/>
              </w:rPr>
              <w:t xml:space="preserve">Internacionalización</w:t>
            </w:r>
          </w:p>
        </w:tc>
        <w:tc>
          <w:tcPr>
            <w:tcW w:type="dxa" w:w="1900"/>
            <w:tcMar>
              <w:top w:type="dxa" w:w="60"/>
              <w:left w:type="dxa" w:w="100"/>
              <w:bottom w:type="dxa" w:w="60"/>
              <w:right w:type="dxa" w:w="100"/>
            </w:tcMar>
            <w:vAlign w:val="center"/>
          </w:tcPr>
          <w:p>
            <w:pPr>
              <w:jc w:val="left"/>
            </w:pPr>
            <w:r>
              <w:rPr>
                <w:b w:val="false"/>
                <w:bCs w:val="false"/>
              </w:rPr>
              <w:t xml:space="preserve">Interfaz</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RA-01</w:t>
            </w:r>
          </w:p>
        </w:tc>
        <w:tc>
          <w:tcPr>
            <w:tcW w:type="dxa" w:w="4700"/>
            <w:tcMar>
              <w:top w:type="dxa" w:w="60"/>
              <w:left w:type="dxa" w:w="100"/>
              <w:bottom w:type="dxa" w:w="60"/>
              <w:right w:type="dxa" w:w="100"/>
            </w:tcMar>
            <w:vAlign w:val="center"/>
          </w:tcPr>
          <w:p>
            <w:pPr>
              <w:jc w:val="left"/>
            </w:pPr>
            <w:r>
              <w:rPr>
                <w:b w:val="false"/>
                <w:bCs w:val="false"/>
              </w:rPr>
              <w:t xml:space="preserve">Chatbot con datos reales</w:t>
            </w:r>
          </w:p>
        </w:tc>
        <w:tc>
          <w:tcPr>
            <w:tcW w:type="dxa" w:w="1900"/>
            <w:tcMar>
              <w:top w:type="dxa" w:w="60"/>
              <w:left w:type="dxa" w:w="100"/>
              <w:bottom w:type="dxa" w:w="60"/>
              <w:right w:type="dxa" w:w="100"/>
            </w:tcMar>
            <w:vAlign w:val="center"/>
          </w:tcPr>
          <w:p>
            <w:pPr>
              <w:jc w:val="left"/>
            </w:pPr>
            <w:r>
              <w:rPr>
                <w:b w:val="false"/>
                <w:bCs w:val="false"/>
              </w:rPr>
              <w:t xml:space="preserve">Atención</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RA-02</w:t>
            </w:r>
          </w:p>
        </w:tc>
        <w:tc>
          <w:tcPr>
            <w:tcW w:type="dxa" w:w="4700"/>
            <w:tcMar>
              <w:top w:type="dxa" w:w="60"/>
              <w:left w:type="dxa" w:w="100"/>
              <w:bottom w:type="dxa" w:w="60"/>
              <w:right w:type="dxa" w:w="100"/>
            </w:tcMar>
            <w:vAlign w:val="center"/>
          </w:tcPr>
          <w:p>
            <w:pPr>
              <w:jc w:val="left"/>
            </w:pPr>
            <w:r>
              <w:rPr>
                <w:b w:val="false"/>
                <w:bCs w:val="false"/>
              </w:rPr>
              <w:t xml:space="preserve">Reporte mensual</w:t>
            </w:r>
          </w:p>
        </w:tc>
        <w:tc>
          <w:tcPr>
            <w:tcW w:type="dxa" w:w="1900"/>
            <w:tcMar>
              <w:top w:type="dxa" w:w="60"/>
              <w:left w:type="dxa" w:w="100"/>
              <w:bottom w:type="dxa" w:w="60"/>
              <w:right w:type="dxa" w:w="100"/>
            </w:tcMar>
            <w:vAlign w:val="center"/>
          </w:tcPr>
          <w:p>
            <w:pPr>
              <w:jc w:val="left"/>
            </w:pPr>
            <w:r>
              <w:rPr>
                <w:b w:val="false"/>
                <w:bCs w:val="false"/>
              </w:rPr>
              <w:t xml:space="preserve">Reportes</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RA-03</w:t>
            </w:r>
          </w:p>
        </w:tc>
        <w:tc>
          <w:tcPr>
            <w:tcW w:type="dxa" w:w="4700"/>
            <w:tcMar>
              <w:top w:type="dxa" w:w="60"/>
              <w:left w:type="dxa" w:w="100"/>
              <w:bottom w:type="dxa" w:w="60"/>
              <w:right w:type="dxa" w:w="100"/>
            </w:tcMar>
            <w:vAlign w:val="center"/>
          </w:tcPr>
          <w:p>
            <w:pPr>
              <w:jc w:val="left"/>
            </w:pPr>
            <w:r>
              <w:rPr>
                <w:b w:val="false"/>
                <w:bCs w:val="false"/>
              </w:rPr>
              <w:t xml:space="preserve">Pago en línea</w:t>
            </w:r>
          </w:p>
        </w:tc>
        <w:tc>
          <w:tcPr>
            <w:tcW w:type="dxa" w:w="1900"/>
            <w:tcMar>
              <w:top w:type="dxa" w:w="60"/>
              <w:left w:type="dxa" w:w="100"/>
              <w:bottom w:type="dxa" w:w="60"/>
              <w:right w:type="dxa" w:w="100"/>
            </w:tcMar>
            <w:vAlign w:val="center"/>
          </w:tcPr>
          <w:p>
            <w:pPr>
              <w:jc w:val="left"/>
            </w:pPr>
            <w:r>
              <w:rPr>
                <w:b w:val="false"/>
                <w:bCs w:val="false"/>
              </w:rPr>
              <w:t xml:space="preserve">Pagos</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RA-04</w:t>
            </w:r>
          </w:p>
        </w:tc>
        <w:tc>
          <w:tcPr>
            <w:tcW w:type="dxa" w:w="4700"/>
            <w:tcMar>
              <w:top w:type="dxa" w:w="60"/>
              <w:left w:type="dxa" w:w="100"/>
              <w:bottom w:type="dxa" w:w="60"/>
              <w:right w:type="dxa" w:w="100"/>
            </w:tcMar>
            <w:vAlign w:val="center"/>
          </w:tcPr>
          <w:p>
            <w:pPr>
              <w:jc w:val="left"/>
            </w:pPr>
            <w:r>
              <w:rPr>
                <w:b w:val="false"/>
                <w:bCs w:val="false"/>
              </w:rPr>
              <w:t xml:space="preserve">Flujo de pedido con doble verificación</w:t>
            </w:r>
          </w:p>
        </w:tc>
        <w:tc>
          <w:tcPr>
            <w:tcW w:type="dxa" w:w="1900"/>
            <w:tcMar>
              <w:top w:type="dxa" w:w="60"/>
              <w:left w:type="dxa" w:w="100"/>
              <w:bottom w:type="dxa" w:w="60"/>
              <w:right w:type="dxa" w:w="100"/>
            </w:tcMar>
            <w:vAlign w:val="center"/>
          </w:tcPr>
          <w:p>
            <w:pPr>
              <w:jc w:val="left"/>
            </w:pPr>
            <w:r>
              <w:rPr>
                <w:b w:val="false"/>
                <w:bCs w:val="false"/>
              </w:rPr>
              <w:t xml:space="preserve">Ventas</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RA-05</w:t>
            </w:r>
          </w:p>
        </w:tc>
        <w:tc>
          <w:tcPr>
            <w:tcW w:type="dxa" w:w="4700"/>
            <w:tcMar>
              <w:top w:type="dxa" w:w="60"/>
              <w:left w:type="dxa" w:w="100"/>
              <w:bottom w:type="dxa" w:w="60"/>
              <w:right w:type="dxa" w:w="100"/>
            </w:tcMar>
            <w:vAlign w:val="center"/>
          </w:tcPr>
          <w:p>
            <w:pPr>
              <w:jc w:val="left"/>
            </w:pPr>
            <w:r>
              <w:rPr>
                <w:b w:val="false"/>
                <w:bCs w:val="false"/>
              </w:rPr>
              <w:t xml:space="preserve">Reseñas de producto</w:t>
            </w:r>
          </w:p>
        </w:tc>
        <w:tc>
          <w:tcPr>
            <w:tcW w:type="dxa" w:w="1900"/>
            <w:tcMar>
              <w:top w:type="dxa" w:w="60"/>
              <w:left w:type="dxa" w:w="100"/>
              <w:bottom w:type="dxa" w:w="60"/>
              <w:right w:type="dxa" w:w="100"/>
            </w:tcMar>
            <w:vAlign w:val="center"/>
          </w:tcPr>
          <w:p>
            <w:pPr>
              <w:jc w:val="left"/>
            </w:pPr>
            <w:r>
              <w:rPr>
                <w:b w:val="false"/>
                <w:bCs w:val="false"/>
              </w:rPr>
              <w:t xml:space="preserve">Catálogo</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RA-06</w:t>
            </w:r>
          </w:p>
        </w:tc>
        <w:tc>
          <w:tcPr>
            <w:tcW w:type="dxa" w:w="4700"/>
            <w:tcMar>
              <w:top w:type="dxa" w:w="60"/>
              <w:left w:type="dxa" w:w="100"/>
              <w:bottom w:type="dxa" w:w="60"/>
              <w:right w:type="dxa" w:w="100"/>
            </w:tcMar>
            <w:vAlign w:val="center"/>
          </w:tcPr>
          <w:p>
            <w:pPr>
              <w:jc w:val="left"/>
            </w:pPr>
            <w:r>
              <w:rPr>
                <w:b w:val="false"/>
                <w:bCs w:val="false"/>
              </w:rPr>
              <w:t xml:space="preserve">SKU automático por categoría</w:t>
            </w:r>
          </w:p>
        </w:tc>
        <w:tc>
          <w:tcPr>
            <w:tcW w:type="dxa" w:w="1900"/>
            <w:tcMar>
              <w:top w:type="dxa" w:w="60"/>
              <w:left w:type="dxa" w:w="100"/>
              <w:bottom w:type="dxa" w:w="60"/>
              <w:right w:type="dxa" w:w="100"/>
            </w:tcMar>
            <w:vAlign w:val="center"/>
          </w:tcPr>
          <w:p>
            <w:pPr>
              <w:jc w:val="left"/>
            </w:pPr>
            <w:r>
              <w:rPr>
                <w:b w:val="false"/>
                <w:bCs w:val="false"/>
              </w:rPr>
              <w:t xml:space="preserve">Catálogo</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RA-07</w:t>
            </w:r>
          </w:p>
        </w:tc>
        <w:tc>
          <w:tcPr>
            <w:tcW w:type="dxa" w:w="4700"/>
            <w:tcMar>
              <w:top w:type="dxa" w:w="60"/>
              <w:left w:type="dxa" w:w="100"/>
              <w:bottom w:type="dxa" w:w="60"/>
              <w:right w:type="dxa" w:w="100"/>
            </w:tcMar>
            <w:vAlign w:val="center"/>
          </w:tcPr>
          <w:p>
            <w:pPr>
              <w:jc w:val="left"/>
            </w:pPr>
            <w:r>
              <w:rPr>
                <w:b w:val="false"/>
                <w:bCs w:val="false"/>
              </w:rPr>
              <w:t xml:space="preserve">Gestión de personal por el admin</w:t>
            </w:r>
          </w:p>
        </w:tc>
        <w:tc>
          <w:tcPr>
            <w:tcW w:type="dxa" w:w="1900"/>
            <w:tcMar>
              <w:top w:type="dxa" w:w="60"/>
              <w:left w:type="dxa" w:w="100"/>
              <w:bottom w:type="dxa" w:w="60"/>
              <w:right w:type="dxa" w:w="100"/>
            </w:tcMar>
            <w:vAlign w:val="center"/>
          </w:tcPr>
          <w:p>
            <w:pPr>
              <w:jc w:val="left"/>
            </w:pPr>
            <w:r>
              <w:rPr>
                <w:b w:val="false"/>
                <w:bCs w:val="false"/>
              </w:rPr>
              <w:t xml:space="preserve">Administración</w:t>
            </w:r>
          </w:p>
        </w:tc>
        <w:tc>
          <w:tcPr>
            <w:tcW w:type="dxa" w:w="2000"/>
            <w:tcMar>
              <w:top w:type="dxa" w:w="60"/>
              <w:left w:type="dxa" w:w="100"/>
              <w:bottom w:type="dxa" w:w="60"/>
              <w:right w:type="dxa" w:w="100"/>
            </w:tcMar>
            <w:vAlign w:val="center"/>
          </w:tcPr>
          <w:p>
            <w:pPr>
              <w:jc w:val="left"/>
            </w:pPr>
            <w:r>
              <w:rPr>
                <w:b w:val="false"/>
                <w:bCs w:val="false"/>
              </w:rPr>
              <w:t xml:space="preserve">Alta</w:t>
            </w:r>
          </w:p>
        </w:tc>
      </w:tr>
      <w:tr>
        <w:tc>
          <w:tcPr>
            <w:tcW w:type="dxa" w:w="1000"/>
            <w:tcMar>
              <w:top w:type="dxa" w:w="60"/>
              <w:left w:type="dxa" w:w="100"/>
              <w:bottom w:type="dxa" w:w="60"/>
              <w:right w:type="dxa" w:w="100"/>
            </w:tcMar>
            <w:vAlign w:val="center"/>
          </w:tcPr>
          <w:p>
            <w:pPr>
              <w:jc w:val="left"/>
            </w:pPr>
            <w:r>
              <w:rPr>
                <w:b w:val="false"/>
                <w:bCs w:val="false"/>
              </w:rPr>
              <w:t xml:space="preserve">RA-08</w:t>
            </w:r>
          </w:p>
        </w:tc>
        <w:tc>
          <w:tcPr>
            <w:tcW w:type="dxa" w:w="4700"/>
            <w:tcMar>
              <w:top w:type="dxa" w:w="60"/>
              <w:left w:type="dxa" w:w="100"/>
              <w:bottom w:type="dxa" w:w="60"/>
              <w:right w:type="dxa" w:w="100"/>
            </w:tcMar>
            <w:vAlign w:val="center"/>
          </w:tcPr>
          <w:p>
            <w:pPr>
              <w:jc w:val="left"/>
            </w:pPr>
            <w:r>
              <w:rPr>
                <w:b w:val="false"/>
                <w:bCs w:val="false"/>
              </w:rPr>
              <w:t xml:space="preserve">Identidad visual UrbanStep</w:t>
            </w:r>
          </w:p>
        </w:tc>
        <w:tc>
          <w:tcPr>
            <w:tcW w:type="dxa" w:w="1900"/>
            <w:tcMar>
              <w:top w:type="dxa" w:w="60"/>
              <w:left w:type="dxa" w:w="100"/>
              <w:bottom w:type="dxa" w:w="60"/>
              <w:right w:type="dxa" w:w="100"/>
            </w:tcMar>
            <w:vAlign w:val="center"/>
          </w:tcPr>
          <w:p>
            <w:pPr>
              <w:jc w:val="left"/>
            </w:pPr>
            <w:r>
              <w:rPr>
                <w:b w:val="false"/>
                <w:bCs w:val="false"/>
              </w:rPr>
              <w:t xml:space="preserve">Interfaz</w:t>
            </w:r>
          </w:p>
        </w:tc>
        <w:tc>
          <w:tcPr>
            <w:tcW w:type="dxa" w:w="2000"/>
            <w:tcMar>
              <w:top w:type="dxa" w:w="60"/>
              <w:left w:type="dxa" w:w="100"/>
              <w:bottom w:type="dxa" w:w="60"/>
              <w:right w:type="dxa" w:w="100"/>
            </w:tcMar>
            <w:vAlign w:val="center"/>
          </w:tcPr>
          <w:p>
            <w:pPr>
              <w:jc w:val="left"/>
            </w:pPr>
            <w:r>
              <w:rPr>
                <w:b w:val="false"/>
                <w:bCs w:val="false"/>
              </w:rPr>
              <w:t xml:space="preserve">Media</w:t>
            </w:r>
          </w:p>
        </w:tc>
      </w:tr>
      <w:tr>
        <w:tc>
          <w:tcPr>
            <w:tcW w:type="dxa" w:w="1000"/>
            <w:tcMar>
              <w:top w:type="dxa" w:w="60"/>
              <w:left w:type="dxa" w:w="100"/>
              <w:bottom w:type="dxa" w:w="60"/>
              <w:right w:type="dxa" w:w="100"/>
            </w:tcMar>
            <w:vAlign w:val="center"/>
          </w:tcPr>
          <w:p>
            <w:pPr>
              <w:jc w:val="left"/>
            </w:pPr>
            <w:r>
              <w:rPr>
                <w:b w:val="false"/>
                <w:bCs w:val="false"/>
              </w:rPr>
              <w:t xml:space="preserve">RA-09</w:t>
            </w:r>
          </w:p>
        </w:tc>
        <w:tc>
          <w:tcPr>
            <w:tcW w:type="dxa" w:w="4700"/>
            <w:tcMar>
              <w:top w:type="dxa" w:w="60"/>
              <w:left w:type="dxa" w:w="100"/>
              <w:bottom w:type="dxa" w:w="60"/>
              <w:right w:type="dxa" w:w="100"/>
            </w:tcMar>
            <w:vAlign w:val="center"/>
          </w:tcPr>
          <w:p>
            <w:pPr>
              <w:jc w:val="left"/>
            </w:pPr>
            <w:r>
              <w:rPr>
                <w:b w:val="false"/>
                <w:bCs w:val="false"/>
              </w:rPr>
              <w:t xml:space="preserve">Comisión de venta por vendedor</w:t>
            </w:r>
          </w:p>
        </w:tc>
        <w:tc>
          <w:tcPr>
            <w:tcW w:type="dxa" w:w="1900"/>
            <w:tcMar>
              <w:top w:type="dxa" w:w="60"/>
              <w:left w:type="dxa" w:w="100"/>
              <w:bottom w:type="dxa" w:w="60"/>
              <w:right w:type="dxa" w:w="100"/>
            </w:tcMar>
            <w:vAlign w:val="center"/>
          </w:tcPr>
          <w:p>
            <w:pPr>
              <w:jc w:val="left"/>
            </w:pPr>
            <w:r>
              <w:rPr>
                <w:b w:val="false"/>
                <w:bCs w:val="false"/>
              </w:rPr>
              <w:t xml:space="preserve">Ventas</w:t>
            </w:r>
          </w:p>
        </w:tc>
        <w:tc>
          <w:tcPr>
            <w:tcW w:type="dxa" w:w="2000"/>
            <w:tcMar>
              <w:top w:type="dxa" w:w="60"/>
              <w:left w:type="dxa" w:w="100"/>
              <w:bottom w:type="dxa" w:w="60"/>
              <w:right w:type="dxa" w:w="100"/>
            </w:tcMar>
            <w:vAlign w:val="center"/>
          </w:tcPr>
          <w:p>
            <w:pPr>
              <w:jc w:val="left"/>
            </w:pPr>
            <w:r>
              <w:rPr>
                <w:b w:val="false"/>
                <w:bCs w:val="false"/>
              </w:rPr>
              <w:t xml:space="preserve">Alta</w:t>
            </w:r>
          </w:p>
        </w:tc>
      </w:tr>
    </w:tbl>
    <w:p>
      <w:pPr>
        <w:pStyle w:val="Heading2"/>
        <w:spacing w:after="140" w:before="260"/>
      </w:pPr>
      <w:r>
        <w:t xml:space="preserve">12.3 Lectura del resultado</w:t>
      </w:r>
    </w:p>
    <w:p>
      <w:pPr>
        <w:spacing w:after="160"/>
      </w:pPr>
      <w:r>
        <w:t xml:space="preserve">La mayoría de los requisitos de prioridad Alta se concentran en tres módulos: Autenticación/Seguridad, Inventario y Ventas. Esto confirma el diagnóstico del documento de contexto: el riesgo real del negocio está en no perder el control del inventario ni del dinero, no en las funciones de valor agregado (chatbot, reportes, reseñas), que aunque relevantes, se priorizaron como Media.</w:t>
      </w:r>
    </w:p>
    <w:p>
      <w:pPr>
        <w:spacing w:after="160"/>
      </w:pPr>
      <w:r>
        <w:t xml:space="preserve">Un caso particular es RF-12 (alerta de stock mínimo): aunque pertenece al módulo de Inventario, se priorizó como Media porque no impide la operación —el sistema ya bloquea la sobreventa con RF-10/RF-11— sino que ayuda a anticiparse a un quiebre de stock.</w:t>
      </w:r>
    </w:p>
    <w:p>
      <w:pPr>
        <w:pStyle w:val="Heading2"/>
        <w:spacing w:after="140" w:before="260"/>
      </w:pPr>
      <w:r>
        <w:t xml:space="preserve">12.4 Orden de implementación sugerido</w:t>
      </w:r>
    </w:p>
    <w:p>
      <w:pPr>
        <w:pStyle w:val="ListParagraph"/>
        <w:numPr>
          <w:ilvl w:val="0"/>
          <w:numId w:val="1"/>
        </w:numPr>
        <w:spacing w:after="80"/>
      </w:pPr>
      <w:r>
        <w:t xml:space="preserve">Primero: Autenticación y roles, catálogo básico e inventario (RF-01 a RF-13), por ser la base sobre la que se apoya todo lo demás.</w:t>
      </w:r>
    </w:p>
    <w:p>
      <w:pPr>
        <w:pStyle w:val="ListParagraph"/>
        <w:numPr>
          <w:ilvl w:val="0"/>
          <w:numId w:val="1"/>
        </w:numPr>
        <w:spacing w:after="80"/>
      </w:pPr>
      <w:r>
        <w:t xml:space="preserve">Segundo: Carrito, pedidos, pago y comisión de venta (RF-14, RF-15, RA-03, RA-04, RA-09), el núcleo funcional del negocio.</w:t>
      </w:r>
    </w:p>
    <w:p>
      <w:pPr>
        <w:pStyle w:val="ListParagraph"/>
        <w:numPr>
          <w:ilvl w:val="0"/>
          <w:numId w:val="1"/>
        </w:numPr>
        <w:spacing w:after="80"/>
      </w:pPr>
      <w:r>
        <w:t xml:space="preserve">Tercero: Panel administrativo, gestión de personal (RF-16, RA-07), para dar visibilidad y control operativo.</w:t>
      </w:r>
    </w:p>
    <w:p>
      <w:pPr>
        <w:pStyle w:val="ListParagraph"/>
        <w:numPr>
          <w:ilvl w:val="0"/>
          <w:numId w:val="1"/>
        </w:numPr>
        <w:spacing w:after="80"/>
      </w:pPr>
      <w:r>
        <w:t xml:space="preserve">Cuarto: Funciones de valor agregado — chatbot, reporte mensual, reseñas, SKU automático, identidad visual, internacionalización (RA-01, RA-02, RA-05, RA-06, RA-08, RF-17).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UrbanStep — 6.1 Análisis — Doc. 12/14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414c2662f4ddfb1d9cb60551603a1eb705dfc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2026-09-04T19:28:39.604Z</dcterms:created>
  <dcterms:modified xsi:type="dcterms:W3CDTF">2026-09-04T19:28:39.604Z</dcterms:modified>
</cp:coreProperties>
</file>

<file path=docProps/custom.xml><?xml version="1.0" encoding="utf-8"?>
<Properties xmlns="http://schemas.openxmlformats.org/officeDocument/2006/custom-properties" xmlns:vt="http://schemas.openxmlformats.org/officeDocument/2006/docPropsVTypes"/>
</file>