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w:pPr>
        <w:spacing w:before="300"/>
      </w:pPr>
    </w:p>
    <w:p>
      <w:pPr>
        <w:jc w:val="center"/>
      </w:pPr>
      <w:r>
        <w:rPr>
          <w:b/>
          <w:bCs/>
          <w:color w:val="0B0E14"/>
          <w:sz w:val="48"/>
          <w:szCs w:val="48"/>
        </w:rPr>
        <w:t xml:space="preserve">URBANSTEP</w:t>
      </w:r>
    </w:p>
    <w:p>
      <w:pPr>
        <w:spacing w:before="100"/>
        <w:jc w:val="center"/>
      </w:pPr>
      <w:r>
        <w:rPr>
          <w:color w:val="595959"/>
          <w:sz w:val="22"/>
          <w:szCs w:val="22"/>
        </w:rPr>
        <w:t xml:space="preserve">Sistema de información empresarial para tienda de ropa y calzado urbano</w:t>
      </w:r>
    </w:p>
    <w:p>
      <w:pPr>
        <w:spacing w:before="700"/>
      </w:pPr>
    </w:p>
    <w:p>
      <w:pPr>
        <w:jc w:val="center"/>
      </w:pPr>
      <w:r>
        <w:rPr>
          <w:b/>
          <w:bCs/>
          <w:color w:val="7CB518"/>
          <w:sz w:val="22"/>
          <w:szCs w:val="22"/>
        </w:rPr>
        <w:t xml:space="preserve">Documento 14 de 14</w:t>
      </w:r>
    </w:p>
    <w:p>
      <w:pPr>
        <w:spacing w:before="150"/>
        <w:jc w:val="center"/>
      </w:pPr>
      <w:r>
        <w:rPr>
          <w:b/>
          <w:bCs/>
          <w:color w:val="0B0E14"/>
          <w:sz w:val="40"/>
          <w:szCs w:val="40"/>
        </w:rPr>
        <w:t xml:space="preserve">Análisis de riesgos del proyecto</w:t>
      </w:r>
    </w:p>
    <w:p>
      <w:pPr>
        <w:spacing w:before="150"/>
        <w:jc w:val="center"/>
      </w:pPr>
      <w:r>
        <w:rPr>
          <w:i/>
          <w:iCs/>
          <w:color w:val="595959"/>
          <w:sz w:val="24"/>
          <w:szCs w:val="24"/>
        </w:rPr>
        <w:t xml:space="preserve">Riesgos identificados en la fase de análisis, su evaluación y su plan de mitigación</w:t>
      </w:r>
    </w:p>
    <w:p>
      <w:pPr>
        <w:spacing w:before="900"/>
      </w:pPr>
    </w:p>
    <w:p>
      <w:pPr>
        <w:jc w:val="center"/>
      </w:pPr>
      <w:r>
        <w:rPr>
          <w:b/>
          <w:bCs/>
          <w:sz w:val="22"/>
          <w:szCs w:val="22"/>
        </w:rPr>
        <w:t xml:space="preserve">Fase 6.1 — Análisis</w:t>
      </w:r>
    </w:p>
    <w:p>
      <w:pPr>
        <w:spacing w:before="60"/>
        <w:jc w:val="center"/>
      </w:pPr>
      <w:r>
        <w:rPr>
          <w:color w:val="595959"/>
          <w:sz w:val="20"/>
          <w:szCs w:val="20"/>
        </w:rPr>
        <w:t xml:space="preserve">Asignatura: Desarrollo de Aplicaciones Empresariales</w:t>
      </w:r>
    </w:p>
    <w:p>
      <w:pPr>
        <w:jc w:val="center"/>
      </w:pPr>
      <w:r>
        <w:rPr>
          <w:color w:val="595959"/>
          <w:sz w:val="20"/>
          <w:szCs w:val="20"/>
        </w:rPr>
        <w:t xml:space="preserve">Unidades Tecnológicas de Santander (UTS)</w:t>
      </w:r>
    </w:p>
    <w:p>
      <w:r>
        <w:br w:type="page"/>
      </w:r>
    </w:p>
    <w:p>
      <w:pPr>
        <w:spacing w:after="300"/>
      </w:pPr>
      <w:r>
        <w:rPr>
          <w:b/>
          <w:bCs/>
          <w:color w:val="0B0E14"/>
          <w:sz w:val="32"/>
          <w:szCs w:val="32"/>
        </w:rPr>
        <w:t xml:space="preserve">Análisis de riesgos del proyecto</w:t>
      </w:r>
    </w:p>
    <w:p>
      <w:pPr>
        <w:pStyle w:val="Heading2"/>
        <w:spacing w:after="140" w:before="260"/>
      </w:pPr>
      <w:r>
        <w:t xml:space="preserve">14.1 Metodología</w:t>
      </w:r>
    </w:p>
    <w:p>
      <w:pPr>
        <w:spacing w:after="160"/>
      </w:pPr>
      <w:r>
        <w:t xml:space="preserve">Cada riesgo se evaluó en dos dimensiones —probabilidad de que ocurra e impacto si ocurre— con tres niveles posibles (Alta, Media, Baja). Los riesgos con probabilidad e impacto Alta se consideran críticos y reciben mitigación prioritaria; los demás se gestionan según su combinación.</w:t>
      </w:r>
    </w:p>
    <w:p>
      <w:pPr>
        <w:pStyle w:val="Heading2"/>
        <w:spacing w:after="140" w:before="260"/>
      </w:pPr>
      <w:r>
        <w:t xml:space="preserve">14.2 Matriz de riesgos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400"/>
      </w:tblGrid>
      <w:tr>
        <w:trPr>
          <w:tblHeader/>
        </w:trPr>
        <w:tc>
          <w:tcPr>
            <w:tcW w:type="dxa" w:w="3200"/>
            <w:shd w:fill="D9E8CF" w:color="auto" w:val="clear"/>
            <w:tcMar>
              <w:top w:type="dxa" w:w="60"/>
              <w:left w:type="dxa" w:w="100"/>
              <w:bottom w:type="dxa" w:w="60"/>
              <w:right w:type="dxa" w:w="100"/>
            </w:tcMar>
            <w:vAlign w:val="center"/>
          </w:tcPr>
          <w:p>
            <w:pPr>
              <w:jc w:val="left"/>
            </w:pPr>
            <w:r>
              <w:rPr>
                <w:b/>
                <w:bCs/>
              </w:rPr>
              <w:t xml:space="preserve">Riesgo</w:t>
            </w:r>
          </w:p>
        </w:tc>
        <w:tc>
          <w:tcPr>
            <w:tcW w:type="dxa" w:w="1500"/>
            <w:shd w:fill="D9E8CF" w:color="auto" w:val="clear"/>
            <w:tcMar>
              <w:top w:type="dxa" w:w="60"/>
              <w:left w:type="dxa" w:w="100"/>
              <w:bottom w:type="dxa" w:w="60"/>
              <w:right w:type="dxa" w:w="100"/>
            </w:tcMar>
            <w:vAlign w:val="center"/>
          </w:tcPr>
          <w:p>
            <w:pPr>
              <w:jc w:val="left"/>
            </w:pPr>
            <w:r>
              <w:rPr>
                <w:b/>
                <w:bCs/>
              </w:rPr>
              <w:t xml:space="preserve">Probabilidad</w:t>
            </w:r>
          </w:p>
        </w:tc>
        <w:tc>
          <w:tcPr>
            <w:tcW w:type="dxa" w:w="1500"/>
            <w:shd w:fill="D9E8CF" w:color="auto" w:val="clear"/>
            <w:tcMar>
              <w:top w:type="dxa" w:w="60"/>
              <w:left w:type="dxa" w:w="100"/>
              <w:bottom w:type="dxa" w:w="60"/>
              <w:right w:type="dxa" w:w="100"/>
            </w:tcMar>
            <w:vAlign w:val="center"/>
          </w:tcPr>
          <w:p>
            <w:pPr>
              <w:jc w:val="left"/>
            </w:pPr>
            <w:r>
              <w:rPr>
                <w:b/>
                <w:bCs/>
              </w:rPr>
              <w:t xml:space="preserve">Impacto</w:t>
            </w:r>
          </w:p>
        </w:tc>
        <w:tc>
          <w:tcPr>
            <w:tcW w:type="dxa" w:w="3400"/>
            <w:shd w:fill="D9E8CF" w:color="auto" w:val="clear"/>
            <w:tcMar>
              <w:top w:type="dxa" w:w="60"/>
              <w:left w:type="dxa" w:w="100"/>
              <w:bottom w:type="dxa" w:w="60"/>
              <w:right w:type="dxa" w:w="100"/>
            </w:tcMar>
            <w:vAlign w:val="center"/>
          </w:tcPr>
          <w:p>
            <w:pPr>
              <w:jc w:val="left"/>
            </w:pPr>
            <w:r>
              <w:rPr>
                <w:b/>
                <w:bCs/>
              </w:rPr>
              <w:t xml:space="preserve">Mitigación</w:t>
            </w:r>
          </w:p>
        </w:tc>
      </w:tr>
      <w:tr>
        <w:tc>
          <w:tcPr>
            <w:tcW w:type="dxa" w:w="3200"/>
            <w:tcMar>
              <w:top w:type="dxa" w:w="60"/>
              <w:left w:type="dxa" w:w="100"/>
              <w:bottom w:type="dxa" w:w="60"/>
              <w:right w:type="dxa" w:w="100"/>
            </w:tcMar>
            <w:vAlign w:val="center"/>
          </w:tcPr>
          <w:p>
            <w:pPr>
              <w:jc w:val="left"/>
            </w:pPr>
            <w:r>
              <w:rPr>
                <w:b w:val="false"/>
                <w:bCs w:val="false"/>
              </w:rPr>
              <w:t xml:space="preserve">Cálculo incorrecto de comisión al mezclar reglas de asociación (checkout vs. venta asistida)</w:t>
            </w:r>
          </w:p>
        </w:tc>
        <w:tc>
          <w:tcPr>
            <w:tcW w:type="dxa" w:w="1500"/>
            <w:tcMar>
              <w:top w:type="dxa" w:w="60"/>
              <w:left w:type="dxa" w:w="100"/>
              <w:bottom w:type="dxa" w:w="60"/>
              <w:right w:type="dxa" w:w="100"/>
            </w:tcMar>
            <w:vAlign w:val="center"/>
          </w:tcPr>
          <w:p>
            <w:pPr>
              <w:jc w:val="left"/>
            </w:pPr>
            <w:r>
              <w:rPr>
                <w:b w:val="false"/>
                <w:bCs w:val="false"/>
              </w:rPr>
              <w:t xml:space="preserve">Media</w:t>
            </w:r>
          </w:p>
        </w:tc>
        <w:tc>
          <w:tcPr>
            <w:tcW w:type="dxa" w:w="1500"/>
            <w:tcMar>
              <w:top w:type="dxa" w:w="60"/>
              <w:left w:type="dxa" w:w="100"/>
              <w:bottom w:type="dxa" w:w="60"/>
              <w:right w:type="dxa" w:w="100"/>
            </w:tcMar>
            <w:vAlign w:val="center"/>
          </w:tcPr>
          <w:p>
            <w:pPr>
              <w:jc w:val="left"/>
            </w:pPr>
            <w:r>
              <w:rPr>
                <w:b w:val="false"/>
                <w:bCs w:val="false"/>
              </w:rPr>
              <w:t xml:space="preserve">Alta</w:t>
            </w:r>
          </w:p>
        </w:tc>
        <w:tc>
          <w:tcPr>
            <w:tcW w:type="dxa" w:w="3400"/>
            <w:tcMar>
              <w:top w:type="dxa" w:w="60"/>
              <w:left w:type="dxa" w:w="100"/>
              <w:bottom w:type="dxa" w:w="60"/>
              <w:right w:type="dxa" w:w="100"/>
            </w:tcMar>
            <w:vAlign w:val="center"/>
          </w:tcPr>
          <w:p>
            <w:pPr>
              <w:jc w:val="left"/>
            </w:pPr>
            <w:r>
              <w:rPr>
                <w:b w:val="false"/>
                <w:bCs w:val="false"/>
              </w:rPr>
              <w:t xml:space="preserve">La asociación con el vendedor se fija al crear el pedido y no se reasigna después desde la interfaz; casos de prueba dedicados (CP-23 a CP-28).</w:t>
            </w:r>
          </w:p>
        </w:tc>
      </w:tr>
      <w:tr>
        <w:tc>
          <w:tcPr>
            <w:tcW w:type="dxa" w:w="3200"/>
            <w:tcMar>
              <w:top w:type="dxa" w:w="60"/>
              <w:left w:type="dxa" w:w="100"/>
              <w:bottom w:type="dxa" w:w="60"/>
              <w:right w:type="dxa" w:w="100"/>
            </w:tcMar>
            <w:vAlign w:val="center"/>
          </w:tcPr>
          <w:p>
            <w:pPr>
              <w:jc w:val="left"/>
            </w:pPr>
            <w:r>
              <w:rPr>
                <w:b w:val="false"/>
                <w:bCs w:val="false"/>
              </w:rPr>
              <w:t xml:space="preserve">Ausencia de pruebas automatizadas en PedidoService, el componente que concentra inventario, estados, dinero y comisiones</w:t>
            </w:r>
          </w:p>
        </w:tc>
        <w:tc>
          <w:tcPr>
            <w:tcW w:type="dxa" w:w="1500"/>
            <w:tcMar>
              <w:top w:type="dxa" w:w="60"/>
              <w:left w:type="dxa" w:w="100"/>
              <w:bottom w:type="dxa" w:w="60"/>
              <w:right w:type="dxa" w:w="100"/>
            </w:tcMar>
            <w:vAlign w:val="center"/>
          </w:tcPr>
          <w:p>
            <w:pPr>
              <w:jc w:val="left"/>
            </w:pPr>
            <w:r>
              <w:rPr>
                <w:b w:val="false"/>
                <w:bCs w:val="false"/>
              </w:rPr>
              <w:t xml:space="preserve">Alta</w:t>
            </w:r>
          </w:p>
        </w:tc>
        <w:tc>
          <w:tcPr>
            <w:tcW w:type="dxa" w:w="1500"/>
            <w:tcMar>
              <w:top w:type="dxa" w:w="60"/>
              <w:left w:type="dxa" w:w="100"/>
              <w:bottom w:type="dxa" w:w="60"/>
              <w:right w:type="dxa" w:w="100"/>
            </w:tcMar>
            <w:vAlign w:val="center"/>
          </w:tcPr>
          <w:p>
            <w:pPr>
              <w:jc w:val="left"/>
            </w:pPr>
            <w:r>
              <w:rPr>
                <w:b w:val="false"/>
                <w:bCs w:val="false"/>
              </w:rPr>
              <w:t xml:space="preserve">Alta</w:t>
            </w:r>
          </w:p>
        </w:tc>
        <w:tc>
          <w:tcPr>
            <w:tcW w:type="dxa" w:w="3400"/>
            <w:tcMar>
              <w:top w:type="dxa" w:w="60"/>
              <w:left w:type="dxa" w:w="100"/>
              <w:bottom w:type="dxa" w:w="60"/>
              <w:right w:type="dxa" w:w="100"/>
            </w:tcMar>
            <w:vAlign w:val="center"/>
          </w:tcPr>
          <w:p>
            <w:pPr>
              <w:jc w:val="left"/>
            </w:pPr>
            <w:r>
              <w:rPr>
                <w:b w:val="false"/>
                <w:bCs w:val="false"/>
              </w:rPr>
              <w:t xml:space="preserve">Pruebas manuales exhaustivas documentadas por caso, con evidencia; se deja como extensión prioritaria antes de producción.</w:t>
            </w:r>
          </w:p>
        </w:tc>
      </w:tr>
      <w:tr>
        <w:tc>
          <w:tcPr>
            <w:tcW w:type="dxa" w:w="3200"/>
            <w:tcMar>
              <w:top w:type="dxa" w:w="60"/>
              <w:left w:type="dxa" w:w="100"/>
              <w:bottom w:type="dxa" w:w="60"/>
              <w:right w:type="dxa" w:w="100"/>
            </w:tcMar>
            <w:vAlign w:val="center"/>
          </w:tcPr>
          <w:p>
            <w:pPr>
              <w:jc w:val="left"/>
            </w:pPr>
            <w:r>
              <w:rPr>
                <w:b w:val="false"/>
                <w:bCs w:val="false"/>
              </w:rPr>
              <w:t xml:space="preserve">Cambios de esquema de base de datos entre fases del proyecto</w:t>
            </w:r>
          </w:p>
        </w:tc>
        <w:tc>
          <w:tcPr>
            <w:tcW w:type="dxa" w:w="1500"/>
            <w:tcMar>
              <w:top w:type="dxa" w:w="60"/>
              <w:left w:type="dxa" w:w="100"/>
              <w:bottom w:type="dxa" w:w="60"/>
              <w:right w:type="dxa" w:w="100"/>
            </w:tcMar>
            <w:vAlign w:val="center"/>
          </w:tcPr>
          <w:p>
            <w:pPr>
              <w:jc w:val="left"/>
            </w:pPr>
            <w:r>
              <w:rPr>
                <w:b w:val="false"/>
                <w:bCs w:val="false"/>
              </w:rPr>
              <w:t xml:space="preserve">Alta</w:t>
            </w:r>
          </w:p>
        </w:tc>
        <w:tc>
          <w:tcPr>
            <w:tcW w:type="dxa" w:w="1500"/>
            <w:tcMar>
              <w:top w:type="dxa" w:w="60"/>
              <w:left w:type="dxa" w:w="100"/>
              <w:bottom w:type="dxa" w:w="60"/>
              <w:right w:type="dxa" w:w="100"/>
            </w:tcMar>
            <w:vAlign w:val="center"/>
          </w:tcPr>
          <w:p>
            <w:pPr>
              <w:jc w:val="left"/>
            </w:pPr>
            <w:r>
              <w:rPr>
                <w:b w:val="false"/>
                <w:bCs w:val="false"/>
              </w:rPr>
              <w:t xml:space="preserve">Media</w:t>
            </w:r>
          </w:p>
        </w:tc>
        <w:tc>
          <w:tcPr>
            <w:tcW w:type="dxa" w:w="3400"/>
            <w:tcMar>
              <w:top w:type="dxa" w:w="60"/>
              <w:left w:type="dxa" w:w="100"/>
              <w:bottom w:type="dxa" w:w="60"/>
              <w:right w:type="dxa" w:w="100"/>
            </w:tcMar>
            <w:vAlign w:val="center"/>
          </w:tcPr>
          <w:p>
            <w:pPr>
              <w:jc w:val="left"/>
            </w:pPr>
            <w:r>
              <w:rPr>
                <w:b w:val="false"/>
                <w:bCs w:val="false"/>
              </w:rPr>
              <w:t xml:space="preserve">Cada cambio se documenta con un script ALTER TABLE independiente; se documenta el procedimiento de recreación de la base si queda inconsistente.</w:t>
            </w:r>
          </w:p>
        </w:tc>
      </w:tr>
      <w:tr>
        <w:tc>
          <w:tcPr>
            <w:tcW w:type="dxa" w:w="3200"/>
            <w:tcMar>
              <w:top w:type="dxa" w:w="60"/>
              <w:left w:type="dxa" w:w="100"/>
              <w:bottom w:type="dxa" w:w="60"/>
              <w:right w:type="dxa" w:w="100"/>
            </w:tcMar>
            <w:vAlign w:val="center"/>
          </w:tcPr>
          <w:p>
            <w:pPr>
              <w:jc w:val="left"/>
            </w:pPr>
            <w:r>
              <w:rPr>
                <w:b w:val="false"/>
                <w:bCs w:val="false"/>
              </w:rPr>
              <w:t xml:space="preserve">Dependencia de un servicio externo de IA para el chatbot</w:t>
            </w:r>
          </w:p>
        </w:tc>
        <w:tc>
          <w:tcPr>
            <w:tcW w:type="dxa" w:w="1500"/>
            <w:tcMar>
              <w:top w:type="dxa" w:w="60"/>
              <w:left w:type="dxa" w:w="100"/>
              <w:bottom w:type="dxa" w:w="60"/>
              <w:right w:type="dxa" w:w="100"/>
            </w:tcMar>
            <w:vAlign w:val="center"/>
          </w:tcPr>
          <w:p>
            <w:pPr>
              <w:jc w:val="left"/>
            </w:pPr>
            <w:r>
              <w:rPr>
                <w:b w:val="false"/>
                <w:bCs w:val="false"/>
              </w:rPr>
              <w:t xml:space="preserve">Media</w:t>
            </w:r>
          </w:p>
        </w:tc>
        <w:tc>
          <w:tcPr>
            <w:tcW w:type="dxa" w:w="1500"/>
            <w:tcMar>
              <w:top w:type="dxa" w:w="60"/>
              <w:left w:type="dxa" w:w="100"/>
              <w:bottom w:type="dxa" w:w="60"/>
              <w:right w:type="dxa" w:w="100"/>
            </w:tcMar>
            <w:vAlign w:val="center"/>
          </w:tcPr>
          <w:p>
            <w:pPr>
              <w:jc w:val="left"/>
            </w:pPr>
            <w:r>
              <w:rPr>
                <w:b w:val="false"/>
                <w:bCs w:val="false"/>
              </w:rPr>
              <w:t xml:space="preserve">Baja</w:t>
            </w:r>
          </w:p>
        </w:tc>
        <w:tc>
          <w:tcPr>
            <w:tcW w:type="dxa" w:w="3400"/>
            <w:tcMar>
              <w:top w:type="dxa" w:w="60"/>
              <w:left w:type="dxa" w:w="100"/>
              <w:bottom w:type="dxa" w:w="60"/>
              <w:right w:type="dxa" w:w="100"/>
            </w:tcMar>
            <w:vAlign w:val="center"/>
          </w:tcPr>
          <w:p>
            <w:pPr>
              <w:jc w:val="left"/>
            </w:pPr>
            <w:r>
              <w:rPr>
                <w:b w:val="false"/>
                <w:bCs w:val="false"/>
              </w:rPr>
              <w:t xml:space="preserve">Motor de reglas de respaldo que no depende de un servicio externo (RNF-03).</w:t>
            </w:r>
          </w:p>
        </w:tc>
      </w:tr>
      <w:tr>
        <w:tc>
          <w:tcPr>
            <w:tcW w:type="dxa" w:w="3200"/>
            <w:tcMar>
              <w:top w:type="dxa" w:w="60"/>
              <w:left w:type="dxa" w:w="100"/>
              <w:bottom w:type="dxa" w:w="60"/>
              <w:right w:type="dxa" w:w="100"/>
            </w:tcMar>
            <w:vAlign w:val="center"/>
          </w:tcPr>
          <w:p>
            <w:pPr>
              <w:jc w:val="left"/>
            </w:pPr>
            <w:r>
              <w:rPr>
                <w:b w:val="false"/>
                <w:bCs w:val="false"/>
              </w:rPr>
              <w:t xml:space="preserve">Estudiante sin comercio registrado en la pasarela de pagos, lo que limita las pruebas con dinero real</w:t>
            </w:r>
          </w:p>
        </w:tc>
        <w:tc>
          <w:tcPr>
            <w:tcW w:type="dxa" w:w="1500"/>
            <w:tcMar>
              <w:top w:type="dxa" w:w="60"/>
              <w:left w:type="dxa" w:w="100"/>
              <w:bottom w:type="dxa" w:w="60"/>
              <w:right w:type="dxa" w:w="100"/>
            </w:tcMar>
            <w:vAlign w:val="center"/>
          </w:tcPr>
          <w:p>
            <w:pPr>
              <w:jc w:val="left"/>
            </w:pPr>
            <w:r>
              <w:rPr>
                <w:b w:val="false"/>
                <w:bCs w:val="false"/>
              </w:rPr>
              <w:t xml:space="preserve">Alta</w:t>
            </w:r>
          </w:p>
        </w:tc>
        <w:tc>
          <w:tcPr>
            <w:tcW w:type="dxa" w:w="1500"/>
            <w:tcMar>
              <w:top w:type="dxa" w:w="60"/>
              <w:left w:type="dxa" w:w="100"/>
              <w:bottom w:type="dxa" w:w="60"/>
              <w:right w:type="dxa" w:w="100"/>
            </w:tcMar>
            <w:vAlign w:val="center"/>
          </w:tcPr>
          <w:p>
            <w:pPr>
              <w:jc w:val="left"/>
            </w:pPr>
            <w:r>
              <w:rPr>
                <w:b w:val="false"/>
                <w:bCs w:val="false"/>
              </w:rPr>
              <w:t xml:space="preserve">Media</w:t>
            </w:r>
          </w:p>
        </w:tc>
        <w:tc>
          <w:tcPr>
            <w:tcW w:type="dxa" w:w="3400"/>
            <w:tcMar>
              <w:top w:type="dxa" w:w="60"/>
              <w:left w:type="dxa" w:w="100"/>
              <w:bottom w:type="dxa" w:w="60"/>
              <w:right w:type="dxa" w:w="100"/>
            </w:tcMar>
            <w:vAlign w:val="center"/>
          </w:tcPr>
          <w:p>
            <w:pPr>
              <w:jc w:val="left"/>
            </w:pPr>
            <w:r>
              <w:rPr>
                <w:b w:val="false"/>
                <w:bCs w:val="false"/>
              </w:rPr>
              <w:t xml:space="preserve">Modo simulado de Wompi que no requiere RUT ni cuenta real, documentado como no apto para producción.</w:t>
            </w:r>
          </w:p>
        </w:tc>
      </w:tr>
      <w:tr>
        <w:tc>
          <w:tcPr>
            <w:tcW w:type="dxa" w:w="3200"/>
            <w:tcMar>
              <w:top w:type="dxa" w:w="60"/>
              <w:left w:type="dxa" w:w="100"/>
              <w:bottom w:type="dxa" w:w="60"/>
              <w:right w:type="dxa" w:w="100"/>
            </w:tcMar>
            <w:vAlign w:val="center"/>
          </w:tcPr>
          <w:p>
            <w:pPr>
              <w:jc w:val="left"/>
            </w:pPr>
            <w:r>
              <w:rPr>
                <w:b w:val="false"/>
                <w:bCs w:val="false"/>
              </w:rPr>
              <w:t xml:space="preserve">Exposición de datos privados o sensibles del cliente a un rol que no los necesita</w:t>
            </w:r>
          </w:p>
        </w:tc>
        <w:tc>
          <w:tcPr>
            <w:tcW w:type="dxa" w:w="1500"/>
            <w:tcMar>
              <w:top w:type="dxa" w:w="60"/>
              <w:left w:type="dxa" w:w="100"/>
              <w:bottom w:type="dxa" w:w="60"/>
              <w:right w:type="dxa" w:w="100"/>
            </w:tcMar>
            <w:vAlign w:val="center"/>
          </w:tcPr>
          <w:p>
            <w:pPr>
              <w:jc w:val="left"/>
            </w:pPr>
            <w:r>
              <w:rPr>
                <w:b w:val="false"/>
                <w:bCs w:val="false"/>
              </w:rPr>
              <w:t xml:space="preserve">Baja</w:t>
            </w:r>
          </w:p>
        </w:tc>
        <w:tc>
          <w:tcPr>
            <w:tcW w:type="dxa" w:w="1500"/>
            <w:tcMar>
              <w:top w:type="dxa" w:w="60"/>
              <w:left w:type="dxa" w:w="100"/>
              <w:bottom w:type="dxa" w:w="60"/>
              <w:right w:type="dxa" w:w="100"/>
            </w:tcMar>
            <w:vAlign w:val="center"/>
          </w:tcPr>
          <w:p>
            <w:pPr>
              <w:jc w:val="left"/>
            </w:pPr>
            <w:r>
              <w:rPr>
                <w:b w:val="false"/>
                <w:bCs w:val="false"/>
              </w:rPr>
              <w:t xml:space="preserve">Alta</w:t>
            </w:r>
          </w:p>
        </w:tc>
        <w:tc>
          <w:tcPr>
            <w:tcW w:type="dxa" w:w="3400"/>
            <w:tcMar>
              <w:top w:type="dxa" w:w="60"/>
              <w:left w:type="dxa" w:w="100"/>
              <w:bottom w:type="dxa" w:w="60"/>
              <w:right w:type="dxa" w:w="100"/>
            </w:tcMar>
            <w:vAlign w:val="center"/>
          </w:tcPr>
          <w:p>
            <w:pPr>
              <w:jc w:val="left"/>
            </w:pPr>
            <w:r>
              <w:rPr>
                <w:b w:val="false"/>
                <w:bCs w:val="false"/>
              </w:rPr>
              <w:t xml:space="preserve">Matriz de acceso centralizada (PoliticaAccesoService); cifrado AES-256-GCM; auditoría de todo acceso, incluidos los intentos denegados.</w:t>
            </w:r>
          </w:p>
        </w:tc>
      </w:tr>
      <w:tr>
        <w:tc>
          <w:tcPr>
            <w:tcW w:type="dxa" w:w="3200"/>
            <w:tcMar>
              <w:top w:type="dxa" w:w="60"/>
              <w:left w:type="dxa" w:w="100"/>
              <w:bottom w:type="dxa" w:w="60"/>
              <w:right w:type="dxa" w:w="100"/>
            </w:tcMar>
            <w:vAlign w:val="center"/>
          </w:tcPr>
          <w:p>
            <w:pPr>
              <w:jc w:val="left"/>
            </w:pPr>
            <w:r>
              <w:rPr>
                <w:b w:val="false"/>
                <w:bCs w:val="false"/>
              </w:rPr>
              <w:t xml:space="preserve">Alcance ampliado durante el semestre (9 requisitos adicionales) frente al cronograma académico fijo</w:t>
            </w:r>
          </w:p>
        </w:tc>
        <w:tc>
          <w:tcPr>
            <w:tcW w:type="dxa" w:w="1500"/>
            <w:tcMar>
              <w:top w:type="dxa" w:w="60"/>
              <w:left w:type="dxa" w:w="100"/>
              <w:bottom w:type="dxa" w:w="60"/>
              <w:right w:type="dxa" w:w="100"/>
            </w:tcMar>
            <w:vAlign w:val="center"/>
          </w:tcPr>
          <w:p>
            <w:pPr>
              <w:jc w:val="left"/>
            </w:pPr>
            <w:r>
              <w:rPr>
                <w:b w:val="false"/>
                <w:bCs w:val="false"/>
              </w:rPr>
              <w:t xml:space="preserve">Media</w:t>
            </w:r>
          </w:p>
        </w:tc>
        <w:tc>
          <w:tcPr>
            <w:tcW w:type="dxa" w:w="1500"/>
            <w:tcMar>
              <w:top w:type="dxa" w:w="60"/>
              <w:left w:type="dxa" w:w="100"/>
              <w:bottom w:type="dxa" w:w="60"/>
              <w:right w:type="dxa" w:w="100"/>
            </w:tcMar>
            <w:vAlign w:val="center"/>
          </w:tcPr>
          <w:p>
            <w:pPr>
              <w:jc w:val="left"/>
            </w:pPr>
            <w:r>
              <w:rPr>
                <w:b w:val="false"/>
                <w:bCs w:val="false"/>
              </w:rPr>
              <w:t xml:space="preserve">Media</w:t>
            </w:r>
          </w:p>
        </w:tc>
        <w:tc>
          <w:tcPr>
            <w:tcW w:type="dxa" w:w="3400"/>
            <w:tcMar>
              <w:top w:type="dxa" w:w="60"/>
              <w:left w:type="dxa" w:w="100"/>
              <w:bottom w:type="dxa" w:w="60"/>
              <w:right w:type="dxa" w:w="100"/>
            </w:tcMar>
            <w:vAlign w:val="center"/>
          </w:tcPr>
          <w:p>
            <w:pPr>
              <w:jc w:val="left"/>
            </w:pPr>
            <w:r>
              <w:rPr>
                <w:b w:val="false"/>
                <w:bCs w:val="false"/>
              </w:rPr>
              <w:t xml:space="preserve">Requisitos ampliados documentados y priorizados por separado (RA-01 a RA-09), con exclusiones explícitas de alcance para no comprometer los requisitos base.</w:t>
            </w:r>
          </w:p>
        </w:tc>
      </w:tr>
      <w:tr>
        <w:tc>
          <w:tcPr>
            <w:tcW w:type="dxa" w:w="3200"/>
            <w:tcMar>
              <w:top w:type="dxa" w:w="60"/>
              <w:left w:type="dxa" w:w="100"/>
              <w:bottom w:type="dxa" w:w="60"/>
              <w:right w:type="dxa" w:w="100"/>
            </w:tcMar>
            <w:vAlign w:val="center"/>
          </w:tcPr>
          <w:p>
            <w:pPr>
              <w:jc w:val="left"/>
            </w:pPr>
            <w:r>
              <w:rPr>
                <w:b w:val="false"/>
                <w:bCs w:val="false"/>
              </w:rPr>
              <w:t xml:space="preserve">Un solo desarrollador cubre todo el ciclo de vida, sin separación de roles de equipo</w:t>
            </w:r>
          </w:p>
        </w:tc>
        <w:tc>
          <w:tcPr>
            <w:tcW w:type="dxa" w:w="1500"/>
            <w:tcMar>
              <w:top w:type="dxa" w:w="60"/>
              <w:left w:type="dxa" w:w="100"/>
              <w:bottom w:type="dxa" w:w="60"/>
              <w:right w:type="dxa" w:w="100"/>
            </w:tcMar>
            <w:vAlign w:val="center"/>
          </w:tcPr>
          <w:p>
            <w:pPr>
              <w:jc w:val="left"/>
            </w:pPr>
            <w:r>
              <w:rPr>
                <w:b w:val="false"/>
                <w:bCs w:val="false"/>
              </w:rPr>
              <w:t xml:space="preserve">Alta</w:t>
            </w:r>
          </w:p>
        </w:tc>
        <w:tc>
          <w:tcPr>
            <w:tcW w:type="dxa" w:w="1500"/>
            <w:tcMar>
              <w:top w:type="dxa" w:w="60"/>
              <w:left w:type="dxa" w:w="100"/>
              <w:bottom w:type="dxa" w:w="60"/>
              <w:right w:type="dxa" w:w="100"/>
            </w:tcMar>
            <w:vAlign w:val="center"/>
          </w:tcPr>
          <w:p>
            <w:pPr>
              <w:jc w:val="left"/>
            </w:pPr>
            <w:r>
              <w:rPr>
                <w:b w:val="false"/>
                <w:bCs w:val="false"/>
              </w:rPr>
              <w:t xml:space="preserve">Media</w:t>
            </w:r>
          </w:p>
        </w:tc>
        <w:tc>
          <w:tcPr>
            <w:tcW w:type="dxa" w:w="3400"/>
            <w:tcMar>
              <w:top w:type="dxa" w:w="60"/>
              <w:left w:type="dxa" w:w="100"/>
              <w:bottom w:type="dxa" w:w="60"/>
              <w:right w:type="dxa" w:w="100"/>
            </w:tcMar>
            <w:vAlign w:val="center"/>
          </w:tcPr>
          <w:p>
            <w:pPr>
              <w:jc w:val="left"/>
            </w:pPr>
            <w:r>
              <w:rPr>
                <w:b w:val="false"/>
                <w:bCs w:val="false"/>
              </w:rPr>
              <w:t xml:space="preserve">Documentación exhaustiva de cada fase para permitir continuidad o traspaso; uso de control de versiones y scripts reproducibles de instalación.</w:t>
            </w:r>
          </w:p>
        </w:tc>
      </w:tr>
    </w:tbl>
    <w:p>
      <w:pPr>
        <w:pStyle w:val="Heading2"/>
        <w:spacing w:after="140" w:before="260"/>
      </w:pPr>
      <w:r>
        <w:t xml:space="preserve">14.3 Riesgos críticos (probabilidad e impacto altos)</w:t>
      </w:r>
    </w:p>
    <w:p>
      <w:pPr>
        <w:spacing w:after="160"/>
      </w:pPr>
      <w:r>
        <w:t xml:space="preserve">El único riesgo que combina probabilidad Alta con impacto Alta es la ausencia de pruebas automatizadas sobre PedidoService. Esto lo convierte en la prioridad número uno de cualquier extensión futura del proyecto: es el componente que concentra la lógica más sensible del sistema (inventario, estados, dinero y comisión), y hoy su corrección depende enteramente de pruebas manuales.</w:t>
      </w:r>
    </w:p>
    <w:p>
      <w:pPr>
        <w:pStyle w:val="Heading2"/>
        <w:spacing w:after="140" w:before="260"/>
      </w:pPr>
      <w:r>
        <w:t xml:space="preserve">14.4 Plan de contingencia por riesgo crítico</w:t>
      </w:r>
    </w:p>
    <w:p>
      <w:pPr>
        <w:spacing w:after="120"/>
      </w:pPr>
      <w:r>
        <w:rPr>
          <w:b/>
          <w:bCs/>
        </w:rPr>
        <w:t xml:space="preserve">Riesgo: </w:t>
      </w:r>
      <w:r>
        <w:t xml:space="preserve">Ausencia de pruebas automatizadas en PedidoService</w:t>
      </w:r>
    </w:p>
    <w:p>
      <w:pPr>
        <w:spacing w:after="120"/>
      </w:pPr>
      <w:r>
        <w:rPr>
          <w:b/>
          <w:bCs/>
        </w:rPr>
        <w:t xml:space="preserve">Señal de alerta temprana: </w:t>
      </w:r>
      <w:r>
        <w:t xml:space="preserve">Un caso de prueba manual (CP-23 a CP-28) falla de forma repetida al reejecutarse tras un cambio de código</w:t>
      </w:r>
    </w:p>
    <w:p>
      <w:pPr>
        <w:spacing w:after="120"/>
      </w:pPr>
      <w:r>
        <w:rPr>
          <w:b/>
          <w:bCs/>
        </w:rPr>
        <w:t xml:space="preserve">Acción si se materializa: </w:t>
      </w:r>
      <w:r>
        <w:t xml:space="preserve">Congelar cambios sobre PedidoService hasta aislar la causa; añadir el caso de prueba manual que detectó el fallo como primer test automatizado (JUnit) de la clase</w:t>
      </w:r>
    </w:p>
    <w:p>
      <w:pPr>
        <w:spacing w:after="120"/>
      </w:pPr>
      <w:r>
        <w:rPr>
          <w:b/>
          <w:bCs/>
        </w:rPr>
        <w:t xml:space="preserve">Responsable: </w:t>
      </w:r>
      <w:r>
        <w:t xml:space="preserve">El desarrollador del proyecto, dado que un solo estudiante cubre todo el ciclo</w:t>
      </w:r>
    </w:p>
    <w:p>
      <w:pPr>
        <w:pStyle w:val="Heading2"/>
        <w:spacing w:after="140" w:before="260"/>
      </w:pPr>
      <w:r>
        <w:t xml:space="preserve">14.5 Riesgos aceptados sin mitigación adicional</w:t>
      </w:r>
    </w:p>
    <w:p>
      <w:pPr>
        <w:spacing w:after="160"/>
      </w:pPr>
      <w:r>
        <w:t xml:space="preserve">Los riesgos de baja probabilidad o bajo impacto —como la exposición de datos sensibles (probabilidad Baja, dado el diseño de la matriz de acceso) o la dependencia del chatbot de un servicio externo (impacto Baja, dado el motor de respaldo)— se consideran suficientemente mitigados por el diseño actual del sistema y no requieren un plan de contingencia adicional en esta fase.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UrbanStep — 6.1 Análisis — Doc. 14/14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414c2662f4ddfb1d9cb60551603a1eb705dfc8.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2026-09-04T19:28:39.639Z</dcterms:created>
  <dcterms:modified xsi:type="dcterms:W3CDTF">2026-09-04T19:28:39.639Z</dcterms:modified>
</cp:coreProperties>
</file>

<file path=docProps/custom.xml><?xml version="1.0" encoding="utf-8"?>
<Properties xmlns="http://schemas.openxmlformats.org/officeDocument/2006/custom-properties" xmlns:vt="http://schemas.openxmlformats.org/officeDocument/2006/docPropsVTypes"/>
</file>