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B4EC9" w14:textId="207A703F" w:rsidR="0017186F" w:rsidRDefault="006114D1">
      <w:hyperlink r:id="rId4" w:history="1">
        <w:r w:rsidRPr="008B17F3">
          <w:rPr>
            <w:rStyle w:val="Hyperlink"/>
          </w:rPr>
          <w:t>https://wps.pearsoned.com/aw_stock_ie_3/178/45691/11697094.cw/content/index.html</w:t>
        </w:r>
      </w:hyperlink>
    </w:p>
    <w:p w14:paraId="295D121D" w14:textId="77777777" w:rsidR="006114D1" w:rsidRDefault="006114D1"/>
    <w:sectPr w:rsidR="0061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9A"/>
    <w:rsid w:val="00196B9A"/>
    <w:rsid w:val="00425AA8"/>
    <w:rsid w:val="005A08F9"/>
    <w:rsid w:val="0061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B4FF3"/>
  <w15:chartTrackingRefBased/>
  <w15:docId w15:val="{849C46FB-2AEE-432C-AA5A-8BFCA4AB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ps.pearsoned.com/aw_stock_ie_3/178/45691/11697094.cw/conten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2</cp:revision>
  <dcterms:created xsi:type="dcterms:W3CDTF">2022-02-01T23:41:00Z</dcterms:created>
  <dcterms:modified xsi:type="dcterms:W3CDTF">2022-02-01T23:41:00Z</dcterms:modified>
</cp:coreProperties>
</file>