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i w:val="0"/>
          <w:color w:val="0B2545"/>
          <w:sz w:val="48"/>
        </w:rPr>
        <w:t>Monitoreo: de dónde salen los tickers y los precios</w:t>
      </w:r>
    </w:p>
    <w:p>
      <w:pPr>
        <w:spacing w:after="40"/>
      </w:pPr>
      <w:r>
        <w:rPr>
          <w:rFonts w:ascii="Calibri" w:hAnsi="Calibri"/>
          <w:b w:val="0"/>
          <w:i w:val="0"/>
          <w:color w:val="4B5563"/>
          <w:sz w:val="26"/>
        </w:rPr>
        <w:t>Resumen criollo de proveedores, cruces y modos CEDEAR</w:t>
      </w:r>
    </w:p>
    <w:p>
      <w:pPr>
        <w:spacing w:after="280"/>
      </w:pPr>
      <w:r>
        <w:rPr>
          <w:rFonts w:ascii="Calibri" w:hAnsi="Calibri"/>
          <w:b w:val="0"/>
          <w:i/>
          <w:color w:val="6B7280"/>
          <w:sz w:val="19"/>
        </w:rPr>
        <w:t>Revisión del código: 20/08/2026</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0B2545"/>
                <w:sz w:val="22"/>
              </w:rPr>
              <w:t xml:space="preserve">La respuesta corta: </w:t>
            </w:r>
            <w:r>
              <w:rPr>
                <w:rFonts w:ascii="Calibri" w:hAnsi="Calibri"/>
                <w:b w:val="0"/>
                <w:i w:val="0"/>
                <w:color w:val="1F2937"/>
                <w:sz w:val="22"/>
              </w:rPr>
              <w:t>El desplegable no consulta cotizaciones en vivo: muestra instrumentos guardados en la base de datos. Ese catálogo se sincroniza desde Data912. Para los precios, la pantalla usa primero el cache propio y luego rutea según el modo: Data912 para el CEDEAR/acción local en ARS; FMP o Yahoo para el subyacente en USD. El CCL y el ratio del CEDEAR no se usan para construir la curva activa.</w:t>
            </w:r>
          </w:p>
        </w:tc>
      </w:tr>
    </w:tbl>
    <w:p>
      <w:pPr>
        <w:spacing w:after="0"/>
      </w:pPr>
    </w:p>
    <w:p>
      <w:pPr>
        <w:pStyle w:val="Heading1"/>
      </w:pPr>
      <w:r>
        <w:rPr>
          <w:rFonts w:ascii="Calibri" w:hAnsi="Calibri"/>
          <w:b/>
          <w:i w:val="0"/>
          <w:color w:val="2E74B5"/>
          <w:sz w:val="32"/>
        </w:rPr>
        <w:t>1. Qué proveedor alimenta el desplegable</w:t>
      </w:r>
    </w:p>
    <w:p>
      <w:pPr>
        <w:spacing w:after="120" w:line="300" w:lineRule="auto"/>
      </w:pPr>
      <w:r>
        <w:rPr>
          <w:rFonts w:ascii="Calibri" w:hAnsi="Calibri"/>
          <w:b w:val="0"/>
          <w:i w:val="0"/>
          <w:color w:val="1F2937"/>
          <w:sz w:val="22"/>
        </w:rPr>
        <w:t>Hay dos momentos distintos. Data912 arma el universo de símbolos; después la aplicación lo guarda y la página lee ese catálogo desde su propia base. Por eso, al abrir /monitoreo, el navegador no le pregunta a Data912 cuáles son los tickers.</w:t>
      </w:r>
    </w:p>
    <w:tbl>
      <w:tblPr>
        <w:tblStyle w:val="TableGrid"/>
        <w:tblW w:type="dxa" w:w="9360"/>
        <w:tblLayout w:type="fixed"/>
        <w:tblLook w:firstColumn="1" w:firstRow="1" w:lastColumn="0" w:lastRow="0" w:noHBand="0" w:noVBand="1" w:val="04A0"/>
        <w:jc w:val="left"/>
        <w:tblInd w:w="120" w:type="dxa"/>
      </w:tblPr>
      <w:tblGrid>
        <w:gridCol w:w="2100"/>
        <w:gridCol w:w="2850"/>
        <w:gridCol w:w="4410"/>
      </w:tblGrid>
      <w:tr>
        <w:trPr>
          <w:tblHeader w:val="true"/>
        </w:trPr>
        <w:tc>
          <w:tcPr>
            <w:tcW w:type="dxa" w:w="2100"/>
            <w:tcMar>
              <w:top w:w="80" w:type="dxa"/>
              <w:start w:w="120" w:type="dxa"/>
              <w:bottom w:w="80" w:type="dxa"/>
              <w:end w:w="120" w:type="dxa"/>
            </w:tcMar>
            <w:vAlign w:val="center"/>
            <w:shd w:fill="E8EEF5"/>
          </w:tcPr>
          <w:p>
            <w:pPr>
              <w:spacing w:after="0"/>
            </w:pPr>
            <w:r>
              <w:rPr>
                <w:rFonts w:ascii="Calibri" w:hAnsi="Calibri"/>
                <w:b/>
                <w:i w:val="0"/>
                <w:color w:val="0B2545"/>
                <w:sz w:val="20"/>
              </w:rPr>
              <w:t>Lo que ves</w:t>
            </w:r>
          </w:p>
        </w:tc>
        <w:tc>
          <w:tcPr>
            <w:tcW w:type="dxa" w:w="2850"/>
            <w:tcMar>
              <w:top w:w="80" w:type="dxa"/>
              <w:start w:w="120" w:type="dxa"/>
              <w:bottom w:w="80" w:type="dxa"/>
              <w:end w:w="120" w:type="dxa"/>
            </w:tcMar>
            <w:vAlign w:val="center"/>
            <w:shd w:fill="E8EEF5"/>
          </w:tcPr>
          <w:p>
            <w:pPr>
              <w:spacing w:after="0"/>
            </w:pPr>
            <w:r>
              <w:rPr>
                <w:rFonts w:ascii="Calibri" w:hAnsi="Calibri"/>
                <w:b/>
                <w:i w:val="0"/>
                <w:color w:val="0B2545"/>
                <w:sz w:val="20"/>
              </w:rPr>
              <w:t>De dónde sale</w:t>
            </w:r>
          </w:p>
        </w:tc>
        <w:tc>
          <w:tcPr>
            <w:tcW w:type="dxa" w:w="4410"/>
            <w:tcMar>
              <w:top w:w="80" w:type="dxa"/>
              <w:start w:w="120" w:type="dxa"/>
              <w:bottom w:w="80" w:type="dxa"/>
              <w:end w:w="120" w:type="dxa"/>
            </w:tcMar>
            <w:vAlign w:val="center"/>
            <w:shd w:fill="E8EEF5"/>
          </w:tcPr>
          <w:p>
            <w:pPr>
              <w:spacing w:after="0"/>
            </w:pPr>
            <w:r>
              <w:rPr>
                <w:rFonts w:ascii="Calibri" w:hAnsi="Calibri"/>
                <w:b/>
                <w:i w:val="0"/>
                <w:color w:val="0B2545"/>
                <w:sz w:val="20"/>
              </w:rPr>
              <w:t>En criollo</w:t>
            </w:r>
          </w:p>
        </w:tc>
      </w:tr>
      <w:tr>
        <w:tc>
          <w:tcPr>
            <w:tcW w:type="dxa" w:w="2100"/>
            <w:tcMar>
              <w:top w:w="80" w:type="dxa"/>
              <w:start w:w="120" w:type="dxa"/>
              <w:bottom w:w="80" w:type="dxa"/>
              <w:end w:w="120" w:type="dxa"/>
            </w:tcMar>
            <w:vAlign w:val="center"/>
          </w:tcPr>
          <w:p>
            <w:pPr>
              <w:spacing w:after="0"/>
            </w:pPr>
            <w:r>
              <w:rPr>
                <w:rFonts w:ascii="Calibri" w:hAnsi="Calibri"/>
                <w:b w:val="0"/>
                <w:i w:val="0"/>
                <w:color w:val="1F2937"/>
                <w:sz w:val="19"/>
              </w:rPr>
              <w:t>Ticker y tipo</w:t>
            </w:r>
          </w:p>
        </w:tc>
        <w:tc>
          <w:tcPr>
            <w:tcW w:type="dxa" w:w="2850"/>
            <w:tcMar>
              <w:top w:w="80" w:type="dxa"/>
              <w:start w:w="120" w:type="dxa"/>
              <w:bottom w:w="80" w:type="dxa"/>
              <w:end w:w="120" w:type="dxa"/>
            </w:tcMar>
            <w:vAlign w:val="center"/>
          </w:tcPr>
          <w:p>
            <w:pPr>
              <w:spacing w:after="0"/>
            </w:pPr>
            <w:r>
              <w:rPr>
                <w:rFonts w:ascii="Calibri" w:hAnsi="Calibri"/>
                <w:b w:val="0"/>
                <w:i w:val="0"/>
                <w:color w:val="1F2937"/>
                <w:sz w:val="19"/>
              </w:rPr>
              <w:t>Instrument en DB</w:t>
            </w:r>
          </w:p>
        </w:tc>
        <w:tc>
          <w:tcPr>
            <w:tcW w:type="dxa" w:w="4410"/>
            <w:tcMar>
              <w:top w:w="80" w:type="dxa"/>
              <w:start w:w="120" w:type="dxa"/>
              <w:bottom w:w="80" w:type="dxa"/>
              <w:end w:w="120" w:type="dxa"/>
            </w:tcMar>
            <w:vAlign w:val="center"/>
          </w:tcPr>
          <w:p>
            <w:pPr>
              <w:spacing w:after="0"/>
            </w:pPr>
            <w:r>
              <w:rPr>
                <w:rFonts w:ascii="Calibri" w:hAnsi="Calibri"/>
                <w:b w:val="0"/>
                <w:i w:val="0"/>
                <w:color w:val="1F2937"/>
                <w:sz w:val="19"/>
              </w:rPr>
              <w:t>Se muestran acciones argentinas y CEDEARs BYMA activos.</w:t>
            </w:r>
          </w:p>
        </w:tc>
      </w:tr>
      <w:tr>
        <w:tc>
          <w:tcPr>
            <w:tcW w:type="dxa" w:w="2100"/>
            <w:tcMar>
              <w:top w:w="80" w:type="dxa"/>
              <w:start w:w="120" w:type="dxa"/>
              <w:bottom w:w="80" w:type="dxa"/>
              <w:end w:w="120" w:type="dxa"/>
            </w:tcMar>
            <w:vAlign w:val="center"/>
          </w:tcPr>
          <w:p>
            <w:pPr>
              <w:spacing w:after="0"/>
            </w:pPr>
            <w:r>
              <w:rPr>
                <w:rFonts w:ascii="Calibri" w:hAnsi="Calibri"/>
                <w:b w:val="0"/>
                <w:i w:val="0"/>
                <w:color w:val="1F2937"/>
                <w:sz w:val="19"/>
              </w:rPr>
              <w:t>Universo inicial</w:t>
            </w:r>
          </w:p>
        </w:tc>
        <w:tc>
          <w:tcPr>
            <w:tcW w:type="dxa" w:w="2850"/>
            <w:tcMar>
              <w:top w:w="80" w:type="dxa"/>
              <w:start w:w="120" w:type="dxa"/>
              <w:bottom w:w="80" w:type="dxa"/>
              <w:end w:w="120" w:type="dxa"/>
            </w:tcMar>
            <w:vAlign w:val="center"/>
          </w:tcPr>
          <w:p>
            <w:pPr>
              <w:spacing w:after="0"/>
            </w:pPr>
            <w:r>
              <w:rPr>
                <w:rFonts w:ascii="Calibri" w:hAnsi="Calibri"/>
                <w:b w:val="0"/>
                <w:i w:val="0"/>
                <w:color w:val="1F2937"/>
                <w:sz w:val="19"/>
              </w:rPr>
              <w:t>Data912 /live/arg_stocks y /live/arg_cedears</w:t>
            </w:r>
          </w:p>
        </w:tc>
        <w:tc>
          <w:tcPr>
            <w:tcW w:type="dxa" w:w="4410"/>
            <w:tcMar>
              <w:top w:w="80" w:type="dxa"/>
              <w:start w:w="120" w:type="dxa"/>
              <w:bottom w:w="80" w:type="dxa"/>
              <w:end w:w="120" w:type="dxa"/>
            </w:tcMar>
            <w:vAlign w:val="center"/>
          </w:tcPr>
          <w:p>
            <w:pPr>
              <w:spacing w:after="0"/>
            </w:pPr>
            <w:r>
              <w:rPr>
                <w:rFonts w:ascii="Calibri" w:hAnsi="Calibri"/>
                <w:b w:val="0"/>
                <w:i w:val="0"/>
                <w:color w:val="1F2937"/>
                <w:sz w:val="19"/>
              </w:rPr>
              <w:t>Data912 dice qué símbolos están listados.</w:t>
            </w:r>
          </w:p>
        </w:tc>
      </w:tr>
      <w:tr>
        <w:tc>
          <w:tcPr>
            <w:tcW w:type="dxa" w:w="2100"/>
            <w:tcMar>
              <w:top w:w="80" w:type="dxa"/>
              <w:start w:w="120" w:type="dxa"/>
              <w:bottom w:w="80" w:type="dxa"/>
              <w:end w:w="120" w:type="dxa"/>
            </w:tcMar>
            <w:vAlign w:val="center"/>
          </w:tcPr>
          <w:p>
            <w:pPr>
              <w:spacing w:after="0"/>
            </w:pPr>
            <w:r>
              <w:rPr>
                <w:rFonts w:ascii="Calibri" w:hAnsi="Calibri"/>
                <w:b w:val="0"/>
                <w:i w:val="0"/>
                <w:color w:val="1F2937"/>
                <w:sz w:val="19"/>
              </w:rPr>
              <w:t>Nombre amigable</w:t>
            </w:r>
          </w:p>
        </w:tc>
        <w:tc>
          <w:tcPr>
            <w:tcW w:type="dxa" w:w="2850"/>
            <w:tcMar>
              <w:top w:w="80" w:type="dxa"/>
              <w:start w:w="120" w:type="dxa"/>
              <w:bottom w:w="80" w:type="dxa"/>
              <w:end w:w="120" w:type="dxa"/>
            </w:tcMar>
            <w:vAlign w:val="center"/>
          </w:tcPr>
          <w:p>
            <w:pPr>
              <w:spacing w:after="0"/>
            </w:pPr>
            <w:r>
              <w:rPr>
                <w:rFonts w:ascii="Calibri" w:hAnsi="Calibri"/>
                <w:b w:val="0"/>
                <w:i w:val="0"/>
                <w:color w:val="1F2937"/>
                <w:sz w:val="19"/>
              </w:rPr>
              <w:t>Mapa curado de la app</w:t>
            </w:r>
          </w:p>
        </w:tc>
        <w:tc>
          <w:tcPr>
            <w:tcW w:type="dxa" w:w="4410"/>
            <w:tcMar>
              <w:top w:w="80" w:type="dxa"/>
              <w:start w:w="120" w:type="dxa"/>
              <w:bottom w:w="80" w:type="dxa"/>
              <w:end w:w="120" w:type="dxa"/>
            </w:tcMar>
            <w:vAlign w:val="center"/>
          </w:tcPr>
          <w:p>
            <w:pPr>
              <w:spacing w:after="0"/>
            </w:pPr>
            <w:r>
              <w:rPr>
                <w:rFonts w:ascii="Calibri" w:hAnsi="Calibri"/>
                <w:b w:val="0"/>
                <w:i w:val="0"/>
                <w:color w:val="1F2937"/>
                <w:sz w:val="19"/>
              </w:rPr>
              <w:t>Data912 trae el símbolo, pero no el nombre; la app lo enriquece.</w:t>
            </w:r>
          </w:p>
        </w:tc>
      </w:tr>
      <w:tr>
        <w:tc>
          <w:tcPr>
            <w:tcW w:type="dxa" w:w="2100"/>
            <w:tcMar>
              <w:top w:w="80" w:type="dxa"/>
              <w:start w:w="120" w:type="dxa"/>
              <w:bottom w:w="80" w:type="dxa"/>
              <w:end w:w="120" w:type="dxa"/>
            </w:tcMar>
            <w:vAlign w:val="center"/>
          </w:tcPr>
          <w:p>
            <w:pPr>
              <w:spacing w:after="0"/>
            </w:pPr>
            <w:r>
              <w:rPr>
                <w:rFonts w:ascii="Calibri" w:hAnsi="Calibri"/>
                <w:b w:val="0"/>
                <w:i w:val="0"/>
                <w:color w:val="1F2937"/>
                <w:sz w:val="19"/>
              </w:rPr>
              <w:t>Marca ‘En mi portfolio’</w:t>
            </w:r>
          </w:p>
        </w:tc>
        <w:tc>
          <w:tcPr>
            <w:tcW w:type="dxa" w:w="2850"/>
            <w:tcMar>
              <w:top w:w="80" w:type="dxa"/>
              <w:start w:w="120" w:type="dxa"/>
              <w:bottom w:w="80" w:type="dxa"/>
              <w:end w:w="120" w:type="dxa"/>
            </w:tcMar>
            <w:vAlign w:val="center"/>
          </w:tcPr>
          <w:p>
            <w:pPr>
              <w:spacing w:after="0"/>
            </w:pPr>
            <w:r>
              <w:rPr>
                <w:rFonts w:ascii="Calibri" w:hAnsi="Calibri"/>
                <w:b w:val="0"/>
                <w:i w:val="0"/>
                <w:color w:val="1F2937"/>
                <w:sz w:val="19"/>
              </w:rPr>
              <w:t>Transactions + PortfolioSnapshot</w:t>
            </w:r>
          </w:p>
        </w:tc>
        <w:tc>
          <w:tcPr>
            <w:tcW w:type="dxa" w:w="4410"/>
            <w:tcMar>
              <w:top w:w="80" w:type="dxa"/>
              <w:start w:w="120" w:type="dxa"/>
              <w:bottom w:w="80" w:type="dxa"/>
              <w:end w:w="120" w:type="dxa"/>
            </w:tcMar>
            <w:vAlign w:val="center"/>
          </w:tcPr>
          <w:p>
            <w:pPr>
              <w:spacing w:after="0"/>
            </w:pPr>
            <w:r>
              <w:rPr>
                <w:rFonts w:ascii="Calibri" w:hAnsi="Calibri"/>
                <w:b w:val="0"/>
                <w:i w:val="0"/>
                <w:color w:val="1F2937"/>
                <w:sz w:val="19"/>
              </w:rPr>
              <w:t>Es un cruce interno; no viene del proveedor de mercado.</w:t>
            </w:r>
          </w:p>
        </w:tc>
      </w:tr>
      <w:tr>
        <w:tc>
          <w:tcPr>
            <w:tcW w:type="dxa" w:w="2100"/>
            <w:tcMar>
              <w:top w:w="80" w:type="dxa"/>
              <w:start w:w="120" w:type="dxa"/>
              <w:bottom w:w="80" w:type="dxa"/>
              <w:end w:w="120" w:type="dxa"/>
            </w:tcMar>
            <w:vAlign w:val="center"/>
          </w:tcPr>
          <w:p>
            <w:pPr>
              <w:spacing w:after="0"/>
            </w:pPr>
            <w:r>
              <w:rPr>
                <w:rFonts w:ascii="Calibri" w:hAnsi="Calibri"/>
                <w:b w:val="0"/>
                <w:i w:val="0"/>
                <w:color w:val="1F2937"/>
                <w:sz w:val="19"/>
              </w:rPr>
              <w:t>Cobertura ‘en DB’</w:t>
            </w:r>
          </w:p>
        </w:tc>
        <w:tc>
          <w:tcPr>
            <w:tcW w:type="dxa" w:w="2850"/>
            <w:tcMar>
              <w:top w:w="80" w:type="dxa"/>
              <w:start w:w="120" w:type="dxa"/>
              <w:bottom w:w="80" w:type="dxa"/>
              <w:end w:w="120" w:type="dxa"/>
            </w:tcMar>
            <w:vAlign w:val="center"/>
          </w:tcPr>
          <w:p>
            <w:pPr>
              <w:spacing w:after="0"/>
            </w:pPr>
            <w:r>
              <w:rPr>
                <w:rFonts w:ascii="Calibri" w:hAnsi="Calibri"/>
                <w:b w:val="0"/>
                <w:i w:val="0"/>
                <w:color w:val="1F2937"/>
                <w:sz w:val="19"/>
              </w:rPr>
              <w:t>PriceCache</w:t>
            </w:r>
          </w:p>
        </w:tc>
        <w:tc>
          <w:tcPr>
            <w:tcW w:type="dxa" w:w="4410"/>
            <w:tcMar>
              <w:top w:w="80" w:type="dxa"/>
              <w:start w:w="120" w:type="dxa"/>
              <w:bottom w:w="80" w:type="dxa"/>
              <w:end w:w="120" w:type="dxa"/>
            </w:tcMar>
            <w:vAlign w:val="center"/>
          </w:tcPr>
          <w:p>
            <w:pPr>
              <w:spacing w:after="0"/>
            </w:pPr>
            <w:r>
              <w:rPr>
                <w:rFonts w:ascii="Calibri" w:hAnsi="Calibri"/>
                <w:b w:val="0"/>
                <w:i w:val="0"/>
                <w:color w:val="1F2937"/>
                <w:sz w:val="19"/>
              </w:rPr>
              <w:t>Cuenta si ya hay barras históricas guardadas para ese instrumento.</w:t>
            </w:r>
          </w:p>
        </w:tc>
      </w:tr>
      <w:tr>
        <w:tc>
          <w:tcPr>
            <w:tcW w:type="dxa" w:w="2100"/>
            <w:tcMar>
              <w:top w:w="80" w:type="dxa"/>
              <w:start w:w="120" w:type="dxa"/>
              <w:bottom w:w="80" w:type="dxa"/>
              <w:end w:w="120" w:type="dxa"/>
            </w:tcMar>
            <w:vAlign w:val="center"/>
          </w:tcPr>
          <w:p>
            <w:pPr>
              <w:spacing w:after="0"/>
            </w:pPr>
            <w:r>
              <w:rPr>
                <w:rFonts w:ascii="Calibri" w:hAnsi="Calibri"/>
                <w:b w:val="0"/>
                <w:i w:val="0"/>
                <w:color w:val="1F2937"/>
                <w:sz w:val="19"/>
              </w:rPr>
              <w:t>Subyacente</w:t>
            </w:r>
          </w:p>
        </w:tc>
        <w:tc>
          <w:tcPr>
            <w:tcW w:type="dxa" w:w="2850"/>
            <w:tcMar>
              <w:top w:w="80" w:type="dxa"/>
              <w:start w:w="120" w:type="dxa"/>
              <w:bottom w:w="80" w:type="dxa"/>
              <w:end w:w="120" w:type="dxa"/>
            </w:tcMar>
            <w:vAlign w:val="center"/>
          </w:tcPr>
          <w:p>
            <w:pPr>
              <w:spacing w:after="0"/>
            </w:pPr>
            <w:r>
              <w:rPr>
                <w:rFonts w:ascii="Calibri" w:hAnsi="Calibri"/>
                <w:b w:val="0"/>
                <w:i w:val="0"/>
                <w:color w:val="1F2937"/>
                <w:sz w:val="19"/>
              </w:rPr>
              <w:t>UnderlyingAsset en DB</w:t>
            </w:r>
          </w:p>
        </w:tc>
        <w:tc>
          <w:tcPr>
            <w:tcW w:type="dxa" w:w="4410"/>
            <w:tcMar>
              <w:top w:w="80" w:type="dxa"/>
              <w:start w:w="120" w:type="dxa"/>
              <w:bottom w:w="80" w:type="dxa"/>
              <w:end w:w="120" w:type="dxa"/>
            </w:tcMar>
            <w:vAlign w:val="center"/>
          </w:tcPr>
          <w:p>
            <w:pPr>
              <w:spacing w:after="0"/>
            </w:pPr>
            <w:r>
              <w:rPr>
                <w:rFonts w:ascii="Calibri" w:hAnsi="Calibri"/>
                <w:b w:val="0"/>
                <w:i w:val="0"/>
                <w:color w:val="1F2937"/>
                <w:sz w:val="19"/>
              </w:rPr>
              <w:t>Relaciona, por ejemplo, CEDEAR AAPL con acción US AAPL, si la relación está cargada.</w:t>
            </w:r>
          </w:p>
        </w:tc>
      </w:tr>
    </w:tbl>
    <w:p>
      <w:pPr>
        <w:spacing w:after="0"/>
      </w:pPr>
    </w:p>
    <w:p>
      <w:pPr>
        <w:pStyle w:val="Heading1"/>
      </w:pPr>
      <w:r>
        <w:rPr>
          <w:rFonts w:ascii="Calibri" w:hAnsi="Calibri"/>
          <w:b/>
          <w:i w:val="0"/>
          <w:color w:val="2E74B5"/>
          <w:sz w:val="32"/>
        </w:rPr>
        <w:t>2. Cómo se cruza la información</w:t>
      </w:r>
    </w:p>
    <w:p>
      <w:pPr>
        <w:spacing w:after="120" w:line="300" w:lineRule="auto"/>
      </w:pPr>
      <w:r>
        <w:rPr>
          <w:rFonts w:ascii="Calibri" w:hAnsi="Calibri"/>
          <w:b w:val="0"/>
          <w:i w:val="0"/>
          <w:color w:val="1F2937"/>
          <w:sz w:val="22"/>
        </w:rPr>
        <w:t>La llave importante es instrumentId. El ticker se usa para mostrar y para llamar a los proveedores, pero el cruce interno se hace por el ID del instrumento, porque el mismo ticker podría existir en mercados o monedas distintas.</w:t>
      </w:r>
    </w:p>
    <w:p>
      <w:pPr>
        <w:pStyle w:val="ListNumber"/>
        <w:spacing w:after="80" w:line="300" w:lineRule="auto"/>
        <w:ind w:left="540" w:hanging="271"/>
      </w:pPr>
      <w:r>
        <w:rPr>
          <w:rFonts w:ascii="Calibri" w:hAnsi="Calibri"/>
          <w:b w:val="0"/>
          <w:i w:val="0"/>
          <w:color w:val="1F2937"/>
          <w:sz w:val="22"/>
        </w:rPr>
        <w:t>Se consulta Instrument: activo, venue BYMA y tipo STOCK_AR o CEDEAR.</w:t>
      </w:r>
    </w:p>
    <w:p>
      <w:pPr>
        <w:pStyle w:val="ListNumber"/>
        <w:spacing w:after="80" w:line="300" w:lineRule="auto"/>
        <w:ind w:left="540" w:hanging="271"/>
      </w:pPr>
      <w:r>
        <w:rPr>
          <w:rFonts w:ascii="Calibri" w:hAnsi="Calibri"/>
          <w:b w:val="0"/>
          <w:i w:val="0"/>
          <w:color w:val="1F2937"/>
          <w:sz w:val="22"/>
        </w:rPr>
        <w:t>Se marca si está en el portfolio buscando instrumentId en las transacciones y en las posiciones guardadas en snapshots.</w:t>
      </w:r>
    </w:p>
    <w:p>
      <w:pPr>
        <w:pStyle w:val="ListNumber"/>
        <w:spacing w:after="80" w:line="300" w:lineRule="auto"/>
        <w:ind w:left="540" w:hanging="271"/>
      </w:pPr>
      <w:r>
        <w:rPr>
          <w:rFonts w:ascii="Calibri" w:hAnsi="Calibri"/>
          <w:b w:val="0"/>
          <w:i w:val="0"/>
          <w:color w:val="1F2937"/>
          <w:sz w:val="22"/>
        </w:rPr>
        <w:t>Si es CEDEAR, se busca su underlyingAssetId para obtener el ticker de la acción estadounidense.</w:t>
      </w:r>
    </w:p>
    <w:p>
      <w:pPr>
        <w:pStyle w:val="ListNumber"/>
        <w:spacing w:after="80" w:line="300" w:lineRule="auto"/>
        <w:ind w:left="540" w:hanging="271"/>
      </w:pPr>
      <w:r>
        <w:rPr>
          <w:rFonts w:ascii="Calibri" w:hAnsi="Calibri"/>
          <w:b w:val="0"/>
          <w:i w:val="0"/>
          <w:color w:val="1F2937"/>
          <w:sz w:val="22"/>
        </w:rPr>
        <w:t>Se busca la serie en PriceCache usando instrumentId + fecha + source. Así no se mezclan, por ejemplo, barras Data912 con barras Yahoo sin saberlo.</w:t>
      </w:r>
    </w:p>
    <w:p>
      <w:pPr>
        <w:pStyle w:val="ListNumber"/>
        <w:spacing w:after="80" w:line="300" w:lineRule="auto"/>
        <w:ind w:left="540" w:hanging="271"/>
      </w:pPr>
      <w:r>
        <w:rPr>
          <w:rFonts w:ascii="Calibri" w:hAnsi="Calibri"/>
          <w:b w:val="0"/>
          <w:i w:val="0"/>
          <w:color w:val="1F2937"/>
          <w:sz w:val="22"/>
        </w:rPr>
        <w:t>La respuesta se normaliza a barras OHLCV: fecha, apertura, máximo, mínimo, cierre y volumen. La línea usa el cierre; las velas usan OHLC y volumen.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0B2545"/>
                <w:sz w:val="22"/>
              </w:rPr>
              <w:t xml:space="preserve">Importante: </w:t>
            </w:r>
            <w:r>
              <w:rPr>
                <w:rFonts w:ascii="Calibri" w:hAnsi="Calibri"/>
                <w:b w:val="0"/>
                <w:i w:val="0"/>
                <w:color w:val="1F2937"/>
                <w:sz w:val="22"/>
              </w:rPr>
              <w:t>PortfolioSnapshot no fija el precio del gráfico. Sirve para saber si el activo está en tu cartera; el precio sale de PriceCache o de un proveedor de mercado.</w:t>
            </w:r>
          </w:p>
        </w:tc>
      </w:tr>
    </w:tbl>
    <w:p>
      <w:pPr>
        <w:spacing w:after="0"/>
      </w:pPr>
    </w:p>
    <w:p>
      <w:pPr>
        <w:pStyle w:val="Heading1"/>
      </w:pPr>
      <w:r>
        <w:rPr>
          <w:rFonts w:ascii="Calibri" w:hAnsi="Calibri"/>
          <w:b/>
          <w:i w:val="0"/>
          <w:color w:val="2E74B5"/>
          <w:sz w:val="32"/>
        </w:rPr>
        <w:t>3. Qué muestra cada modo del CEDEAR</w:t>
      </w:r>
    </w:p>
    <w:p>
      <w:pPr>
        <w:pStyle w:val="Heading2"/>
      </w:pPr>
      <w:r>
        <w:rPr>
          <w:rFonts w:ascii="Calibri" w:hAnsi="Calibri"/>
          <w:b/>
          <w:i w:val="0"/>
          <w:color w:val="2E74B5"/>
          <w:sz w:val="26"/>
        </w:rPr>
        <w:t>ARS CEDEAR</w:t>
      </w:r>
    </w:p>
    <w:p>
      <w:pPr>
        <w:spacing w:after="120" w:line="300" w:lineRule="auto"/>
      </w:pPr>
      <w:r>
        <w:rPr>
          <w:rFonts w:ascii="Calibri" w:hAnsi="Calibri"/>
          <w:b w:val="0"/>
          <w:i w:val="0"/>
          <w:color w:val="1F2937"/>
          <w:sz w:val="22"/>
        </w:rPr>
        <w:t>Es el precio real del CEDEAR que cotiza en BYMA, expresado en pesos. Si elegís AAPL, la serie busca AAPL como especie local; no calcula el precio multiplicando una acción estadounidense por CCL ni divide por el ratio.</w:t>
      </w:r>
    </w:p>
    <w:tbl>
      <w:tblPr>
        <w:tblStyle w:val="TableGrid"/>
        <w:tblW w:type="dxa" w:w="9360"/>
        <w:tblLayout w:type="fixed"/>
        <w:tblLook w:firstColumn="1" w:firstRow="1" w:lastColumn="0" w:lastRow="0" w:noHBand="0" w:noVBand="1" w:val="04A0"/>
        <w:jc w:val="left"/>
        <w:tblInd w:w="120" w:type="dxa"/>
      </w:tblPr>
      <w:tblGrid>
        <w:gridCol w:w="900"/>
        <w:gridCol w:w="3700"/>
        <w:gridCol w:w="4760"/>
      </w:tblGrid>
      <w:tr>
        <w:trPr>
          <w:tblHeader w:val="true"/>
        </w:trPr>
        <w:tc>
          <w:tcPr>
            <w:tcW w:type="dxa" w:w="900"/>
            <w:tcMar>
              <w:top w:w="80" w:type="dxa"/>
              <w:start w:w="120" w:type="dxa"/>
              <w:bottom w:w="80" w:type="dxa"/>
              <w:end w:w="120" w:type="dxa"/>
            </w:tcMar>
            <w:vAlign w:val="center"/>
            <w:shd w:fill="E8EEF5"/>
          </w:tcPr>
          <w:p>
            <w:pPr>
              <w:spacing w:after="0"/>
            </w:pPr>
            <w:r>
              <w:rPr>
                <w:rFonts w:ascii="Calibri" w:hAnsi="Calibri"/>
                <w:b/>
                <w:i w:val="0"/>
                <w:color w:val="0B2545"/>
                <w:sz w:val="20"/>
              </w:rPr>
              <w:t>Prioridad</w:t>
            </w:r>
          </w:p>
        </w:tc>
        <w:tc>
          <w:tcPr>
            <w:tcW w:type="dxa" w:w="3700"/>
            <w:tcMar>
              <w:top w:w="80" w:type="dxa"/>
              <w:start w:w="120" w:type="dxa"/>
              <w:bottom w:w="80" w:type="dxa"/>
              <w:end w:w="120" w:type="dxa"/>
            </w:tcMar>
            <w:vAlign w:val="center"/>
            <w:shd w:fill="E8EEF5"/>
          </w:tcPr>
          <w:p>
            <w:pPr>
              <w:spacing w:after="0"/>
            </w:pPr>
            <w:r>
              <w:rPr>
                <w:rFonts w:ascii="Calibri" w:hAnsi="Calibri"/>
                <w:b/>
                <w:i w:val="0"/>
                <w:color w:val="0B2545"/>
                <w:sz w:val="20"/>
              </w:rPr>
              <w:t>Proveedor / símbolo</w:t>
            </w:r>
          </w:p>
        </w:tc>
        <w:tc>
          <w:tcPr>
            <w:tcW w:type="dxa" w:w="4760"/>
            <w:tcMar>
              <w:top w:w="80" w:type="dxa"/>
              <w:start w:w="120" w:type="dxa"/>
              <w:bottom w:w="80" w:type="dxa"/>
              <w:end w:w="120" w:type="dxa"/>
            </w:tcMar>
            <w:vAlign w:val="center"/>
            <w:shd w:fill="E8EEF5"/>
          </w:tcPr>
          <w:p>
            <w:pPr>
              <w:spacing w:after="0"/>
            </w:pPr>
            <w:r>
              <w:rPr>
                <w:rFonts w:ascii="Calibri" w:hAnsi="Calibri"/>
                <w:b/>
                <w:i w:val="0"/>
                <w:color w:val="0B2545"/>
                <w:sz w:val="20"/>
              </w:rPr>
              <w:t>Qué entrega</w:t>
            </w:r>
          </w:p>
        </w:tc>
      </w:tr>
      <w:tr>
        <w:tc>
          <w:tcPr>
            <w:tcW w:type="dxa" w:w="900"/>
            <w:tcMar>
              <w:top w:w="80" w:type="dxa"/>
              <w:start w:w="120" w:type="dxa"/>
              <w:bottom w:w="80" w:type="dxa"/>
              <w:end w:w="120" w:type="dxa"/>
            </w:tcMar>
            <w:vAlign w:val="center"/>
          </w:tcPr>
          <w:p>
            <w:pPr>
              <w:spacing w:after="0"/>
            </w:pPr>
            <w:r>
              <w:rPr>
                <w:rFonts w:ascii="Calibri" w:hAnsi="Calibri"/>
                <w:b w:val="0"/>
                <w:i w:val="0"/>
                <w:color w:val="1F2937"/>
                <w:sz w:val="19"/>
              </w:rPr>
              <w:t>1</w:t>
            </w:r>
          </w:p>
        </w:tc>
        <w:tc>
          <w:tcPr>
            <w:tcW w:type="dxa" w:w="3700"/>
            <w:tcMar>
              <w:top w:w="80" w:type="dxa"/>
              <w:start w:w="120" w:type="dxa"/>
              <w:bottom w:w="80" w:type="dxa"/>
              <w:end w:w="120" w:type="dxa"/>
            </w:tcMar>
            <w:vAlign w:val="center"/>
          </w:tcPr>
          <w:p>
            <w:pPr>
              <w:spacing w:after="0"/>
            </w:pPr>
            <w:r>
              <w:rPr>
                <w:rFonts w:ascii="Calibri" w:hAnsi="Calibri"/>
                <w:b w:val="0"/>
                <w:i w:val="0"/>
                <w:color w:val="1F2937"/>
                <w:sz w:val="19"/>
              </w:rPr>
              <w:t>Data912 histórico: /historical/cedears/{ticker}</w:t>
            </w:r>
          </w:p>
        </w:tc>
        <w:tc>
          <w:tcPr>
            <w:tcW w:type="dxa" w:w="4760"/>
            <w:tcMar>
              <w:top w:w="80" w:type="dxa"/>
              <w:start w:w="120" w:type="dxa"/>
              <w:bottom w:w="80" w:type="dxa"/>
              <w:end w:w="120" w:type="dxa"/>
            </w:tcMar>
            <w:vAlign w:val="center"/>
          </w:tcPr>
          <w:p>
            <w:pPr>
              <w:spacing w:after="0"/>
            </w:pPr>
            <w:r>
              <w:rPr>
                <w:rFonts w:ascii="Calibri" w:hAnsi="Calibri"/>
                <w:b w:val="0"/>
                <w:i w:val="0"/>
                <w:color w:val="1F2937"/>
                <w:sz w:val="19"/>
              </w:rPr>
              <w:t>OHLCV local en ARS; queda source=data912-eod.</w:t>
            </w:r>
          </w:p>
        </w:tc>
      </w:tr>
      <w:tr>
        <w:tc>
          <w:tcPr>
            <w:tcW w:type="dxa" w:w="900"/>
            <w:tcMar>
              <w:top w:w="80" w:type="dxa"/>
              <w:start w:w="120" w:type="dxa"/>
              <w:bottom w:w="80" w:type="dxa"/>
              <w:end w:w="120" w:type="dxa"/>
            </w:tcMar>
            <w:vAlign w:val="center"/>
          </w:tcPr>
          <w:p>
            <w:pPr>
              <w:spacing w:after="0"/>
            </w:pPr>
            <w:r>
              <w:rPr>
                <w:rFonts w:ascii="Calibri" w:hAnsi="Calibri"/>
                <w:b w:val="0"/>
                <w:i w:val="0"/>
                <w:color w:val="1F2937"/>
                <w:sz w:val="19"/>
              </w:rPr>
              <w:t>2</w:t>
            </w:r>
          </w:p>
        </w:tc>
        <w:tc>
          <w:tcPr>
            <w:tcW w:type="dxa" w:w="3700"/>
            <w:tcMar>
              <w:top w:w="80" w:type="dxa"/>
              <w:start w:w="120" w:type="dxa"/>
              <w:bottom w:w="80" w:type="dxa"/>
              <w:end w:w="120" w:type="dxa"/>
            </w:tcMar>
            <w:vAlign w:val="center"/>
          </w:tcPr>
          <w:p>
            <w:pPr>
              <w:spacing w:after="0"/>
            </w:pPr>
            <w:r>
              <w:rPr>
                <w:rFonts w:ascii="Calibri" w:hAnsi="Calibri"/>
                <w:b w:val="0"/>
                <w:i w:val="0"/>
                <w:color w:val="1F2937"/>
                <w:sz w:val="19"/>
              </w:rPr>
              <w:t>Yahoo Chart: {ticker}.BA</w:t>
            </w:r>
          </w:p>
        </w:tc>
        <w:tc>
          <w:tcPr>
            <w:tcW w:type="dxa" w:w="4760"/>
            <w:tcMar>
              <w:top w:w="80" w:type="dxa"/>
              <w:start w:w="120" w:type="dxa"/>
              <w:bottom w:w="80" w:type="dxa"/>
              <w:end w:w="120" w:type="dxa"/>
            </w:tcMar>
            <w:vAlign w:val="center"/>
          </w:tcPr>
          <w:p>
            <w:pPr>
              <w:spacing w:after="0"/>
            </w:pPr>
            <w:r>
              <w:rPr>
                <w:rFonts w:ascii="Calibri" w:hAnsi="Calibri"/>
                <w:b w:val="0"/>
                <w:i w:val="0"/>
                <w:color w:val="1F2937"/>
                <w:sz w:val="19"/>
              </w:rPr>
              <w:t>OHLCV local en ARS; queda source=yahoo-eod.</w:t>
            </w:r>
          </w:p>
        </w:tc>
      </w:tr>
      <w:tr>
        <w:tc>
          <w:tcPr>
            <w:tcW w:type="dxa" w:w="900"/>
            <w:tcMar>
              <w:top w:w="80" w:type="dxa"/>
              <w:start w:w="120" w:type="dxa"/>
              <w:bottom w:w="80" w:type="dxa"/>
              <w:end w:w="120" w:type="dxa"/>
            </w:tcMar>
            <w:vAlign w:val="center"/>
          </w:tcPr>
          <w:p>
            <w:pPr>
              <w:spacing w:after="0"/>
            </w:pPr>
            <w:r>
              <w:rPr>
                <w:rFonts w:ascii="Calibri" w:hAnsi="Calibri"/>
                <w:b w:val="0"/>
                <w:i w:val="0"/>
                <w:color w:val="1F2937"/>
                <w:sz w:val="19"/>
              </w:rPr>
              <w:t>3</w:t>
            </w:r>
          </w:p>
        </w:tc>
        <w:tc>
          <w:tcPr>
            <w:tcW w:type="dxa" w:w="3700"/>
            <w:tcMar>
              <w:top w:w="80" w:type="dxa"/>
              <w:start w:w="120" w:type="dxa"/>
              <w:bottom w:w="80" w:type="dxa"/>
              <w:end w:w="120" w:type="dxa"/>
            </w:tcMar>
            <w:vAlign w:val="center"/>
          </w:tcPr>
          <w:p>
            <w:pPr>
              <w:spacing w:after="0"/>
            </w:pPr>
            <w:r>
              <w:rPr>
                <w:rFonts w:ascii="Calibri" w:hAnsi="Calibri"/>
                <w:b w:val="0"/>
                <w:i w:val="0"/>
                <w:color w:val="1F2937"/>
                <w:sz w:val="19"/>
              </w:rPr>
              <w:t>Data912 live: /live/arg_cedears</w:t>
            </w:r>
          </w:p>
        </w:tc>
        <w:tc>
          <w:tcPr>
            <w:tcW w:type="dxa" w:w="4760"/>
            <w:tcMar>
              <w:top w:w="80" w:type="dxa"/>
              <w:start w:w="120" w:type="dxa"/>
              <w:bottom w:w="80" w:type="dxa"/>
              <w:end w:w="120" w:type="dxa"/>
            </w:tcMar>
            <w:vAlign w:val="center"/>
          </w:tcPr>
          <w:p>
            <w:pPr>
              <w:spacing w:after="0"/>
            </w:pPr>
            <w:r>
              <w:rPr>
                <w:rFonts w:ascii="Calibri" w:hAnsi="Calibri"/>
                <w:b w:val="0"/>
                <w:i w:val="0"/>
                <w:color w:val="1F2937"/>
                <w:sz w:val="19"/>
              </w:rPr>
              <w:t>Última cotización puntual si no hay cache; queda source=data912-live.</w:t>
            </w:r>
          </w:p>
        </w:tc>
      </w:tr>
    </w:tbl>
    <w:p>
      <w:pPr>
        <w:spacing w:after="0"/>
      </w:pPr>
    </w:p>
    <w:p>
      <w:pPr>
        <w:pStyle w:val="Heading2"/>
      </w:pPr>
      <w:r>
        <w:rPr>
          <w:rFonts w:ascii="Calibri" w:hAnsi="Calibri"/>
          <w:b/>
          <w:i w:val="0"/>
          <w:color w:val="2E74B5"/>
          <w:sz w:val="26"/>
        </w:rPr>
        <w:t>USD subyacente</w:t>
      </w:r>
    </w:p>
    <w:p>
      <w:pPr>
        <w:spacing w:after="120" w:line="300" w:lineRule="auto"/>
      </w:pPr>
      <w:r>
        <w:rPr>
          <w:rFonts w:ascii="Calibri" w:hAnsi="Calibri"/>
          <w:b w:val="0"/>
          <w:i w:val="0"/>
          <w:color w:val="1F2937"/>
          <w:sz w:val="22"/>
        </w:rPr>
        <w:t>Es la cotización de la acción o ETF estadounidense que está detrás del CEDEAR. Para AAPL, la intención es consultar AAPL en USD, no AAPL.BA. La curva es la del subyacente, no una conversión del CEDEAR argentino.</w:t>
      </w:r>
    </w:p>
    <w:tbl>
      <w:tblPr>
        <w:tblStyle w:val="TableGrid"/>
        <w:tblW w:type="dxa" w:w="9360"/>
        <w:tblLayout w:type="fixed"/>
        <w:tblLook w:firstColumn="1" w:firstRow="1" w:lastColumn="0" w:lastRow="0" w:noHBand="0" w:noVBand="1" w:val="04A0"/>
        <w:jc w:val="left"/>
        <w:tblInd w:w="120" w:type="dxa"/>
      </w:tblPr>
      <w:tblGrid>
        <w:gridCol w:w="900"/>
        <w:gridCol w:w="4300"/>
        <w:gridCol w:w="4160"/>
      </w:tblGrid>
      <w:tr>
        <w:trPr>
          <w:tblHeader w:val="true"/>
        </w:trPr>
        <w:tc>
          <w:tcPr>
            <w:tcW w:type="dxa" w:w="900"/>
            <w:tcMar>
              <w:top w:w="80" w:type="dxa"/>
              <w:start w:w="120" w:type="dxa"/>
              <w:bottom w:w="80" w:type="dxa"/>
              <w:end w:w="120" w:type="dxa"/>
            </w:tcMar>
            <w:vAlign w:val="center"/>
            <w:shd w:fill="E8EEF5"/>
          </w:tcPr>
          <w:p>
            <w:pPr>
              <w:spacing w:after="0"/>
            </w:pPr>
            <w:r>
              <w:rPr>
                <w:rFonts w:ascii="Calibri" w:hAnsi="Calibri"/>
                <w:b/>
                <w:i w:val="0"/>
                <w:color w:val="0B2545"/>
                <w:sz w:val="20"/>
              </w:rPr>
              <w:t>Prioridad</w:t>
            </w:r>
          </w:p>
        </w:tc>
        <w:tc>
          <w:tcPr>
            <w:tcW w:type="dxa" w:w="4300"/>
            <w:tcMar>
              <w:top w:w="80" w:type="dxa"/>
              <w:start w:w="120" w:type="dxa"/>
              <w:bottom w:w="80" w:type="dxa"/>
              <w:end w:w="120" w:type="dxa"/>
            </w:tcMar>
            <w:vAlign w:val="center"/>
            <w:shd w:fill="E8EEF5"/>
          </w:tcPr>
          <w:p>
            <w:pPr>
              <w:spacing w:after="0"/>
            </w:pPr>
            <w:r>
              <w:rPr>
                <w:rFonts w:ascii="Calibri" w:hAnsi="Calibri"/>
                <w:b/>
                <w:i w:val="0"/>
                <w:color w:val="0B2545"/>
                <w:sz w:val="20"/>
              </w:rPr>
              <w:t>Proveedor / símbolo</w:t>
            </w:r>
          </w:p>
        </w:tc>
        <w:tc>
          <w:tcPr>
            <w:tcW w:type="dxa" w:w="4160"/>
            <w:tcMar>
              <w:top w:w="80" w:type="dxa"/>
              <w:start w:w="120" w:type="dxa"/>
              <w:bottom w:w="80" w:type="dxa"/>
              <w:end w:w="120" w:type="dxa"/>
            </w:tcMar>
            <w:vAlign w:val="center"/>
            <w:shd w:fill="E8EEF5"/>
          </w:tcPr>
          <w:p>
            <w:pPr>
              <w:spacing w:after="0"/>
            </w:pPr>
            <w:r>
              <w:rPr>
                <w:rFonts w:ascii="Calibri" w:hAnsi="Calibri"/>
                <w:b/>
                <w:i w:val="0"/>
                <w:color w:val="0B2545"/>
                <w:sz w:val="20"/>
              </w:rPr>
              <w:t>Qué entrega</w:t>
            </w:r>
          </w:p>
        </w:tc>
      </w:tr>
      <w:tr>
        <w:tc>
          <w:tcPr>
            <w:tcW w:type="dxa" w:w="900"/>
            <w:tcMar>
              <w:top w:w="80" w:type="dxa"/>
              <w:start w:w="120" w:type="dxa"/>
              <w:bottom w:w="80" w:type="dxa"/>
              <w:end w:w="120" w:type="dxa"/>
            </w:tcMar>
            <w:vAlign w:val="center"/>
          </w:tcPr>
          <w:p>
            <w:pPr>
              <w:spacing w:after="0"/>
            </w:pPr>
            <w:r>
              <w:rPr>
                <w:rFonts w:ascii="Calibri" w:hAnsi="Calibri"/>
                <w:b w:val="0"/>
                <w:i w:val="0"/>
                <w:color w:val="1F2937"/>
                <w:sz w:val="19"/>
              </w:rPr>
              <w:t>1</w:t>
            </w:r>
          </w:p>
        </w:tc>
        <w:tc>
          <w:tcPr>
            <w:tcW w:type="dxa" w:w="4300"/>
            <w:tcMar>
              <w:top w:w="80" w:type="dxa"/>
              <w:start w:w="120" w:type="dxa"/>
              <w:bottom w:w="80" w:type="dxa"/>
              <w:end w:w="120" w:type="dxa"/>
            </w:tcMar>
            <w:vAlign w:val="center"/>
          </w:tcPr>
          <w:p>
            <w:pPr>
              <w:spacing w:after="0"/>
            </w:pPr>
            <w:r>
              <w:rPr>
                <w:rFonts w:ascii="Calibri" w:hAnsi="Calibri"/>
                <w:b w:val="0"/>
                <w:i w:val="0"/>
                <w:color w:val="1F2937"/>
                <w:sz w:val="19"/>
              </w:rPr>
              <w:t>FMP EOD: historical-price-eod/non-split-adjusted/{underlying}</w:t>
            </w:r>
          </w:p>
        </w:tc>
        <w:tc>
          <w:tcPr>
            <w:tcW w:type="dxa" w:w="4160"/>
            <w:tcMar>
              <w:top w:w="80" w:type="dxa"/>
              <w:start w:w="120" w:type="dxa"/>
              <w:bottom w:w="80" w:type="dxa"/>
              <w:end w:w="120" w:type="dxa"/>
            </w:tcMar>
            <w:vAlign w:val="center"/>
          </w:tcPr>
          <w:p>
            <w:pPr>
              <w:spacing w:after="0"/>
            </w:pPr>
            <w:r>
              <w:rPr>
                <w:rFonts w:ascii="Calibri" w:hAnsi="Calibri"/>
                <w:b w:val="0"/>
                <w:i w:val="0"/>
                <w:color w:val="1F2937"/>
                <w:sz w:val="19"/>
              </w:rPr>
              <w:t>OHLCV del subyacente en USD; requiere FINANCIALMODELINGPREP_APIKEY.</w:t>
            </w:r>
          </w:p>
        </w:tc>
      </w:tr>
      <w:tr>
        <w:tc>
          <w:tcPr>
            <w:tcW w:type="dxa" w:w="900"/>
            <w:tcMar>
              <w:top w:w="80" w:type="dxa"/>
              <w:start w:w="120" w:type="dxa"/>
              <w:bottom w:w="80" w:type="dxa"/>
              <w:end w:w="120" w:type="dxa"/>
            </w:tcMar>
            <w:vAlign w:val="center"/>
          </w:tcPr>
          <w:p>
            <w:pPr>
              <w:spacing w:after="0"/>
            </w:pPr>
            <w:r>
              <w:rPr>
                <w:rFonts w:ascii="Calibri" w:hAnsi="Calibri"/>
                <w:b w:val="0"/>
                <w:i w:val="0"/>
                <w:color w:val="1F2937"/>
                <w:sz w:val="19"/>
              </w:rPr>
              <w:t>2</w:t>
            </w:r>
          </w:p>
        </w:tc>
        <w:tc>
          <w:tcPr>
            <w:tcW w:type="dxa" w:w="4300"/>
            <w:tcMar>
              <w:top w:w="80" w:type="dxa"/>
              <w:start w:w="120" w:type="dxa"/>
              <w:bottom w:w="80" w:type="dxa"/>
              <w:end w:w="120" w:type="dxa"/>
            </w:tcMar>
            <w:vAlign w:val="center"/>
          </w:tcPr>
          <w:p>
            <w:pPr>
              <w:spacing w:after="0"/>
            </w:pPr>
            <w:r>
              <w:rPr>
                <w:rFonts w:ascii="Calibri" w:hAnsi="Calibri"/>
                <w:b w:val="0"/>
                <w:i w:val="0"/>
                <w:color w:val="1F2937"/>
                <w:sz w:val="19"/>
              </w:rPr>
              <w:t>Yahoo Chart: {underlying} sin .BA</w:t>
            </w:r>
          </w:p>
        </w:tc>
        <w:tc>
          <w:tcPr>
            <w:tcW w:type="dxa" w:w="4160"/>
            <w:tcMar>
              <w:top w:w="80" w:type="dxa"/>
              <w:start w:w="120" w:type="dxa"/>
              <w:bottom w:w="80" w:type="dxa"/>
              <w:end w:w="120" w:type="dxa"/>
            </w:tcMar>
            <w:vAlign w:val="center"/>
          </w:tcPr>
          <w:p>
            <w:pPr>
              <w:spacing w:after="0"/>
            </w:pPr>
            <w:r>
              <w:rPr>
                <w:rFonts w:ascii="Calibri" w:hAnsi="Calibri"/>
                <w:b w:val="0"/>
                <w:i w:val="0"/>
                <w:color w:val="1F2937"/>
                <w:sz w:val="19"/>
              </w:rPr>
              <w:t>OHLCV del subyacente en USD; queda source=yahoo-underlying-eod.</w:t>
            </w:r>
          </w:p>
        </w:tc>
      </w:tr>
    </w:tbl>
    <w:p>
      <w:pPr>
        <w:spacing w:after="0"/>
      </w:pPr>
    </w:p>
    <w:p>
      <w:pPr>
        <w:spacing w:after="120" w:line="300" w:lineRule="auto"/>
      </w:pPr>
      <w:r>
        <w:rPr>
          <w:rFonts w:ascii="Calibri" w:hAnsi="Calibri"/>
          <w:b w:val="0"/>
          <w:i w:val="0"/>
          <w:color w:val="1F2937"/>
          <w:sz w:val="22"/>
        </w:rPr>
        <w:t>En la interfaz el texto dice “USD subyacente”. Si viste “SUD”, es simplemente un error de lectura o tipeo: el código implementa USD.</w:t>
      </w:r>
    </w:p>
    <w:p>
      <w:pPr>
        <w:pStyle w:val="Heading1"/>
      </w:pPr>
      <w:r>
        <w:rPr>
          <w:rFonts w:ascii="Calibri" w:hAnsi="Calibri"/>
          <w:b/>
          <w:i w:val="0"/>
          <w:color w:val="2E74B5"/>
          <w:sz w:val="32"/>
        </w:rPr>
        <w:t>4. Orden real de búsqueda de datos</w:t>
      </w:r>
    </w:p>
    <w:p>
      <w:pPr>
        <w:spacing w:after="120" w:line="300" w:lineRule="auto"/>
      </w:pPr>
      <w:r>
        <w:rPr>
          <w:rFonts w:ascii="Calibri" w:hAnsi="Calibri"/>
          <w:b w:val="0"/>
          <w:i w:val="0"/>
          <w:color w:val="1F2937"/>
          <w:sz w:val="22"/>
        </w:rPr>
        <w:t>Cuando cambiás de ticker o de modo, la acción de servidor intenta resolver la serie en este orden:</w:t>
      </w:r>
    </w:p>
    <w:p>
      <w:pPr>
        <w:pStyle w:val="ListNumber"/>
        <w:spacing w:after="80" w:line="300" w:lineRule="auto"/>
        <w:ind w:left="540" w:hanging="271"/>
      </w:pPr>
      <w:r>
        <w:rPr>
          <w:rFonts w:ascii="Calibri" w:hAnsi="Calibri"/>
          <w:b w:val="0"/>
          <w:i w:val="0"/>
          <w:color w:val="1F2937"/>
          <w:sz w:val="22"/>
        </w:rPr>
        <w:t>Cache propio de los últimos dos años, usando el source correspondiente al modo.</w:t>
      </w:r>
    </w:p>
    <w:p>
      <w:pPr>
        <w:pStyle w:val="ListNumber"/>
        <w:spacing w:after="80" w:line="300" w:lineRule="auto"/>
        <w:ind w:left="540" w:hanging="271"/>
      </w:pPr>
      <w:r>
        <w:rPr>
          <w:rFonts w:ascii="Calibri" w:hAnsi="Calibri"/>
          <w:b w:val="0"/>
          <w:i w:val="0"/>
          <w:color w:val="1F2937"/>
          <w:sz w:val="22"/>
        </w:rPr>
        <w:t>Otro cache conocido de la misma moneda: Data912/Yahoo para ARS; FMP/Yahoo subyacente para USD.</w:t>
      </w:r>
    </w:p>
    <w:p>
      <w:pPr>
        <w:pStyle w:val="ListNumber"/>
        <w:spacing w:after="80" w:line="300" w:lineRule="auto"/>
        <w:ind w:left="540" w:hanging="271"/>
      </w:pPr>
      <w:r>
        <w:rPr>
          <w:rFonts w:ascii="Calibri" w:hAnsi="Calibri"/>
          <w:b w:val="0"/>
          <w:i w:val="0"/>
          <w:color w:val="1F2937"/>
          <w:sz w:val="22"/>
        </w:rPr>
        <w:t>Si sigue vacío, una cotización live de Data912, guardada como data912-live y mostrada como cobertura limitada.</w:t>
      </w:r>
    </w:p>
    <w:p>
      <w:pPr>
        <w:pStyle w:val="ListNumber"/>
        <w:spacing w:after="80" w:line="300" w:lineRule="auto"/>
        <w:ind w:left="540" w:hanging="271"/>
      </w:pPr>
      <w:r>
        <w:rPr>
          <w:rFonts w:ascii="Calibri" w:hAnsi="Calibri"/>
          <w:b w:val="0"/>
          <w:i w:val="0"/>
          <w:color w:val="1F2937"/>
          <w:sz w:val="22"/>
        </w:rPr>
        <w:t>Al tocar “Cargar histórico”, consulta el histórico externo, lo mezcla con lo cacheado por fecha y persiste las barras faltantes recientes.</w:t>
      </w:r>
    </w:p>
    <w:tbl>
      <w:tblPr>
        <w:tblStyle w:val="TableGrid"/>
        <w:tblW w:type="dxa" w:w="9360"/>
        <w:tblLayout w:type="fixed"/>
        <w:tblLook w:firstColumn="1" w:firstRow="1" w:lastColumn="0" w:lastRow="0" w:noHBand="0" w:noVBand="1" w:val="04A0"/>
        <w:jc w:val="left"/>
        <w:tblInd w:w="120" w:type="dxa"/>
      </w:tblPr>
      <w:tblGrid>
        <w:gridCol w:w="1900"/>
        <w:gridCol w:w="2250"/>
        <w:gridCol w:w="5210"/>
      </w:tblGrid>
      <w:tr>
        <w:trPr>
          <w:tblHeader w:val="true"/>
        </w:trPr>
        <w:tc>
          <w:tcPr>
            <w:tcW w:type="dxa" w:w="1900"/>
            <w:tcMar>
              <w:top w:w="80" w:type="dxa"/>
              <w:start w:w="120" w:type="dxa"/>
              <w:bottom w:w="80" w:type="dxa"/>
              <w:end w:w="120" w:type="dxa"/>
            </w:tcMar>
            <w:vAlign w:val="center"/>
            <w:shd w:fill="E8EEF5"/>
          </w:tcPr>
          <w:p>
            <w:pPr>
              <w:spacing w:after="0"/>
            </w:pPr>
            <w:r>
              <w:rPr>
                <w:rFonts w:ascii="Calibri" w:hAnsi="Calibri"/>
                <w:b/>
                <w:i w:val="0"/>
                <w:color w:val="0B2545"/>
                <w:sz w:val="20"/>
              </w:rPr>
              <w:t>Source</w:t>
            </w:r>
          </w:p>
        </w:tc>
        <w:tc>
          <w:tcPr>
            <w:tcW w:type="dxa" w:w="2250"/>
            <w:tcMar>
              <w:top w:w="80" w:type="dxa"/>
              <w:start w:w="120" w:type="dxa"/>
              <w:bottom w:w="80" w:type="dxa"/>
              <w:end w:w="120" w:type="dxa"/>
            </w:tcMar>
            <w:vAlign w:val="center"/>
            <w:shd w:fill="E8EEF5"/>
          </w:tcPr>
          <w:p>
            <w:pPr>
              <w:spacing w:after="0"/>
            </w:pPr>
            <w:r>
              <w:rPr>
                <w:rFonts w:ascii="Calibri" w:hAnsi="Calibri"/>
                <w:b/>
                <w:i w:val="0"/>
                <w:color w:val="0B2545"/>
                <w:sz w:val="20"/>
              </w:rPr>
              <w:t>Proveedor</w:t>
            </w:r>
          </w:p>
        </w:tc>
        <w:tc>
          <w:tcPr>
            <w:tcW w:type="dxa" w:w="5210"/>
            <w:tcMar>
              <w:top w:w="80" w:type="dxa"/>
              <w:start w:w="120" w:type="dxa"/>
              <w:bottom w:w="80" w:type="dxa"/>
              <w:end w:w="120" w:type="dxa"/>
            </w:tcMar>
            <w:vAlign w:val="center"/>
            <w:shd w:fill="E8EEF5"/>
          </w:tcPr>
          <w:p>
            <w:pPr>
              <w:spacing w:after="0"/>
            </w:pPr>
            <w:r>
              <w:rPr>
                <w:rFonts w:ascii="Calibri" w:hAnsi="Calibri"/>
                <w:b/>
                <w:i w:val="0"/>
                <w:color w:val="0B2545"/>
                <w:sz w:val="20"/>
              </w:rPr>
              <w:t>Uso</w:t>
            </w:r>
          </w:p>
        </w:tc>
      </w:tr>
      <w:tr>
        <w:tc>
          <w:tcPr>
            <w:tcW w:type="dxa" w:w="1900"/>
            <w:tcMar>
              <w:top w:w="80" w:type="dxa"/>
              <w:start w:w="120" w:type="dxa"/>
              <w:bottom w:w="80" w:type="dxa"/>
              <w:end w:w="120" w:type="dxa"/>
            </w:tcMar>
            <w:vAlign w:val="center"/>
          </w:tcPr>
          <w:p>
            <w:pPr>
              <w:spacing w:after="0"/>
            </w:pPr>
            <w:r>
              <w:rPr>
                <w:rFonts w:ascii="Calibri" w:hAnsi="Calibri"/>
                <w:b w:val="0"/>
                <w:i w:val="0"/>
                <w:color w:val="1F2937"/>
                <w:sz w:val="19"/>
              </w:rPr>
              <w:t>data912-eod</w:t>
            </w:r>
          </w:p>
        </w:tc>
        <w:tc>
          <w:tcPr>
            <w:tcW w:type="dxa" w:w="2250"/>
            <w:tcMar>
              <w:top w:w="80" w:type="dxa"/>
              <w:start w:w="120" w:type="dxa"/>
              <w:bottom w:w="80" w:type="dxa"/>
              <w:end w:w="120" w:type="dxa"/>
            </w:tcMar>
            <w:vAlign w:val="center"/>
          </w:tcPr>
          <w:p>
            <w:pPr>
              <w:spacing w:after="0"/>
            </w:pPr>
            <w:r>
              <w:rPr>
                <w:rFonts w:ascii="Calibri" w:hAnsi="Calibri"/>
                <w:b w:val="0"/>
                <w:i w:val="0"/>
                <w:color w:val="1F2937"/>
                <w:sz w:val="19"/>
              </w:rPr>
              <w:t>Data912</w:t>
            </w:r>
          </w:p>
        </w:tc>
        <w:tc>
          <w:tcPr>
            <w:tcW w:type="dxa" w:w="5210"/>
            <w:tcMar>
              <w:top w:w="80" w:type="dxa"/>
              <w:start w:w="120" w:type="dxa"/>
              <w:bottom w:w="80" w:type="dxa"/>
              <w:end w:w="120" w:type="dxa"/>
            </w:tcMar>
            <w:vAlign w:val="center"/>
          </w:tcPr>
          <w:p>
            <w:pPr>
              <w:spacing w:after="0"/>
            </w:pPr>
            <w:r>
              <w:rPr>
                <w:rFonts w:ascii="Calibri" w:hAnsi="Calibri"/>
                <w:b w:val="0"/>
                <w:i w:val="0"/>
                <w:color w:val="1F2937"/>
                <w:sz w:val="19"/>
              </w:rPr>
              <w:t>Histórico local EOD de acciones AR y CEDEARs.</w:t>
            </w:r>
          </w:p>
        </w:tc>
      </w:tr>
      <w:tr>
        <w:tc>
          <w:tcPr>
            <w:tcW w:type="dxa" w:w="1900"/>
            <w:tcMar>
              <w:top w:w="80" w:type="dxa"/>
              <w:start w:w="120" w:type="dxa"/>
              <w:bottom w:w="80" w:type="dxa"/>
              <w:end w:w="120" w:type="dxa"/>
            </w:tcMar>
            <w:vAlign w:val="center"/>
          </w:tcPr>
          <w:p>
            <w:pPr>
              <w:spacing w:after="0"/>
            </w:pPr>
            <w:r>
              <w:rPr>
                <w:rFonts w:ascii="Calibri" w:hAnsi="Calibri"/>
                <w:b w:val="0"/>
                <w:i w:val="0"/>
                <w:color w:val="1F2937"/>
                <w:sz w:val="19"/>
              </w:rPr>
              <w:t>data912-live</w:t>
            </w:r>
          </w:p>
        </w:tc>
        <w:tc>
          <w:tcPr>
            <w:tcW w:type="dxa" w:w="2250"/>
            <w:tcMar>
              <w:top w:w="80" w:type="dxa"/>
              <w:start w:w="120" w:type="dxa"/>
              <w:bottom w:w="80" w:type="dxa"/>
              <w:end w:w="120" w:type="dxa"/>
            </w:tcMar>
            <w:vAlign w:val="center"/>
          </w:tcPr>
          <w:p>
            <w:pPr>
              <w:spacing w:after="0"/>
            </w:pPr>
            <w:r>
              <w:rPr>
                <w:rFonts w:ascii="Calibri" w:hAnsi="Calibri"/>
                <w:b w:val="0"/>
                <w:i w:val="0"/>
                <w:color w:val="1F2937"/>
                <w:sz w:val="19"/>
              </w:rPr>
              <w:t>Data912</w:t>
            </w:r>
          </w:p>
        </w:tc>
        <w:tc>
          <w:tcPr>
            <w:tcW w:type="dxa" w:w="5210"/>
            <w:tcMar>
              <w:top w:w="80" w:type="dxa"/>
              <w:start w:w="120" w:type="dxa"/>
              <w:bottom w:w="80" w:type="dxa"/>
              <w:end w:w="120" w:type="dxa"/>
            </w:tcMar>
            <w:vAlign w:val="center"/>
          </w:tcPr>
          <w:p>
            <w:pPr>
              <w:spacing w:after="0"/>
            </w:pPr>
            <w:r>
              <w:rPr>
                <w:rFonts w:ascii="Calibri" w:hAnsi="Calibri"/>
                <w:b w:val="0"/>
                <w:i w:val="0"/>
                <w:color w:val="1F2937"/>
                <w:sz w:val="19"/>
              </w:rPr>
              <w:t>Fallback de cotización actual; no es una serie histórica completa.</w:t>
            </w:r>
          </w:p>
        </w:tc>
      </w:tr>
      <w:tr>
        <w:tc>
          <w:tcPr>
            <w:tcW w:type="dxa" w:w="1900"/>
            <w:tcMar>
              <w:top w:w="80" w:type="dxa"/>
              <w:start w:w="120" w:type="dxa"/>
              <w:bottom w:w="80" w:type="dxa"/>
              <w:end w:w="120" w:type="dxa"/>
            </w:tcMar>
            <w:vAlign w:val="center"/>
          </w:tcPr>
          <w:p>
            <w:pPr>
              <w:spacing w:after="0"/>
            </w:pPr>
            <w:r>
              <w:rPr>
                <w:rFonts w:ascii="Calibri" w:hAnsi="Calibri"/>
                <w:b w:val="0"/>
                <w:i w:val="0"/>
                <w:color w:val="1F2937"/>
                <w:sz w:val="19"/>
              </w:rPr>
              <w:t>yahoo-eod</w:t>
            </w:r>
          </w:p>
        </w:tc>
        <w:tc>
          <w:tcPr>
            <w:tcW w:type="dxa" w:w="2250"/>
            <w:tcMar>
              <w:top w:w="80" w:type="dxa"/>
              <w:start w:w="120" w:type="dxa"/>
              <w:bottom w:w="80" w:type="dxa"/>
              <w:end w:w="120" w:type="dxa"/>
            </w:tcMar>
            <w:vAlign w:val="center"/>
          </w:tcPr>
          <w:p>
            <w:pPr>
              <w:spacing w:after="0"/>
            </w:pPr>
            <w:r>
              <w:rPr>
                <w:rFonts w:ascii="Calibri" w:hAnsi="Calibri"/>
                <w:b w:val="0"/>
                <w:i w:val="0"/>
                <w:color w:val="1F2937"/>
                <w:sz w:val="19"/>
              </w:rPr>
              <w:t>Yahoo Finance Chart</w:t>
            </w:r>
          </w:p>
        </w:tc>
        <w:tc>
          <w:tcPr>
            <w:tcW w:type="dxa" w:w="5210"/>
            <w:tcMar>
              <w:top w:w="80" w:type="dxa"/>
              <w:start w:w="120" w:type="dxa"/>
              <w:bottom w:w="80" w:type="dxa"/>
              <w:end w:w="120" w:type="dxa"/>
            </w:tcMar>
            <w:vAlign w:val="center"/>
          </w:tcPr>
          <w:p>
            <w:pPr>
              <w:spacing w:after="0"/>
            </w:pPr>
            <w:r>
              <w:rPr>
                <w:rFonts w:ascii="Calibri" w:hAnsi="Calibri"/>
                <w:b w:val="0"/>
                <w:i w:val="0"/>
                <w:color w:val="1F2937"/>
                <w:sz w:val="19"/>
              </w:rPr>
              <w:t>Histórico local alternativo usando .BA; también existe para otros procesos de la app.</w:t>
            </w:r>
          </w:p>
        </w:tc>
      </w:tr>
      <w:tr>
        <w:tc>
          <w:tcPr>
            <w:tcW w:type="dxa" w:w="1900"/>
            <w:tcMar>
              <w:top w:w="80" w:type="dxa"/>
              <w:start w:w="120" w:type="dxa"/>
              <w:bottom w:w="80" w:type="dxa"/>
              <w:end w:w="120" w:type="dxa"/>
            </w:tcMar>
            <w:vAlign w:val="center"/>
          </w:tcPr>
          <w:p>
            <w:pPr>
              <w:spacing w:after="0"/>
            </w:pPr>
            <w:r>
              <w:rPr>
                <w:rFonts w:ascii="Calibri" w:hAnsi="Calibri"/>
                <w:b w:val="0"/>
                <w:i w:val="0"/>
                <w:color w:val="1F2937"/>
                <w:sz w:val="19"/>
              </w:rPr>
              <w:t>yahoo-underlying-eod</w:t>
            </w:r>
          </w:p>
        </w:tc>
        <w:tc>
          <w:tcPr>
            <w:tcW w:type="dxa" w:w="2250"/>
            <w:tcMar>
              <w:top w:w="80" w:type="dxa"/>
              <w:start w:w="120" w:type="dxa"/>
              <w:bottom w:w="80" w:type="dxa"/>
              <w:end w:w="120" w:type="dxa"/>
            </w:tcMar>
            <w:vAlign w:val="center"/>
          </w:tcPr>
          <w:p>
            <w:pPr>
              <w:spacing w:after="0"/>
            </w:pPr>
            <w:r>
              <w:rPr>
                <w:rFonts w:ascii="Calibri" w:hAnsi="Calibri"/>
                <w:b w:val="0"/>
                <w:i w:val="0"/>
                <w:color w:val="1F2937"/>
                <w:sz w:val="19"/>
              </w:rPr>
              <w:t>Yahoo Finance Chart</w:t>
            </w:r>
          </w:p>
        </w:tc>
        <w:tc>
          <w:tcPr>
            <w:tcW w:type="dxa" w:w="5210"/>
            <w:tcMar>
              <w:top w:w="80" w:type="dxa"/>
              <w:start w:w="120" w:type="dxa"/>
              <w:bottom w:w="80" w:type="dxa"/>
              <w:end w:w="120" w:type="dxa"/>
            </w:tcMar>
            <w:vAlign w:val="center"/>
          </w:tcPr>
          <w:p>
            <w:pPr>
              <w:spacing w:after="0"/>
            </w:pPr>
            <w:r>
              <w:rPr>
                <w:rFonts w:ascii="Calibri" w:hAnsi="Calibri"/>
                <w:b w:val="0"/>
                <w:i w:val="0"/>
                <w:color w:val="1F2937"/>
                <w:sz w:val="19"/>
              </w:rPr>
              <w:t>Histórico del subyacente en USD, sin .BA.</w:t>
            </w:r>
          </w:p>
        </w:tc>
      </w:tr>
      <w:tr>
        <w:tc>
          <w:tcPr>
            <w:tcW w:type="dxa" w:w="1900"/>
            <w:tcMar>
              <w:top w:w="80" w:type="dxa"/>
              <w:start w:w="120" w:type="dxa"/>
              <w:bottom w:w="80" w:type="dxa"/>
              <w:end w:w="120" w:type="dxa"/>
            </w:tcMar>
            <w:vAlign w:val="center"/>
          </w:tcPr>
          <w:p>
            <w:pPr>
              <w:spacing w:after="0"/>
            </w:pPr>
            <w:r>
              <w:rPr>
                <w:rFonts w:ascii="Calibri" w:hAnsi="Calibri"/>
                <w:b w:val="0"/>
                <w:i w:val="0"/>
                <w:color w:val="1F2937"/>
                <w:sz w:val="19"/>
              </w:rPr>
              <w:t>fmp-eod</w:t>
            </w:r>
          </w:p>
        </w:tc>
        <w:tc>
          <w:tcPr>
            <w:tcW w:type="dxa" w:w="2250"/>
            <w:tcMar>
              <w:top w:w="80" w:type="dxa"/>
              <w:start w:w="120" w:type="dxa"/>
              <w:bottom w:w="80" w:type="dxa"/>
              <w:end w:w="120" w:type="dxa"/>
            </w:tcMar>
            <w:vAlign w:val="center"/>
          </w:tcPr>
          <w:p>
            <w:pPr>
              <w:spacing w:after="0"/>
            </w:pPr>
            <w:r>
              <w:rPr>
                <w:rFonts w:ascii="Calibri" w:hAnsi="Calibri"/>
                <w:b w:val="0"/>
                <w:i w:val="0"/>
                <w:color w:val="1F2937"/>
                <w:sz w:val="19"/>
              </w:rPr>
              <w:t>Financial Modeling Prep</w:t>
            </w:r>
          </w:p>
        </w:tc>
        <w:tc>
          <w:tcPr>
            <w:tcW w:type="dxa" w:w="5210"/>
            <w:tcMar>
              <w:top w:w="80" w:type="dxa"/>
              <w:start w:w="120" w:type="dxa"/>
              <w:bottom w:w="80" w:type="dxa"/>
              <w:end w:w="120" w:type="dxa"/>
            </w:tcMar>
            <w:vAlign w:val="center"/>
          </w:tcPr>
          <w:p>
            <w:pPr>
              <w:spacing w:after="0"/>
            </w:pPr>
            <w:r>
              <w:rPr>
                <w:rFonts w:ascii="Calibri" w:hAnsi="Calibri"/>
                <w:b w:val="0"/>
                <w:i w:val="0"/>
                <w:color w:val="1F2937"/>
                <w:sz w:val="19"/>
              </w:rPr>
              <w:t>Histórico EOD del subyacente en USD cuando hay API key.</w:t>
            </w:r>
          </w:p>
        </w:tc>
      </w:tr>
    </w:tbl>
    <w:p>
      <w:pPr>
        <w:spacing w:after="0"/>
      </w:pPr>
    </w:p>
    <w:p>
      <w:pPr>
        <w:pStyle w:val="Heading1"/>
      </w:pPr>
      <w:r>
        <w:rPr>
          <w:rFonts w:ascii="Calibri" w:hAnsi="Calibri"/>
          <w:b/>
          <w:i w:val="0"/>
          <w:color w:val="2E74B5"/>
          <w:sz w:val="32"/>
        </w:rPr>
        <w:t>5. Ojo: hay un gráfico de TradingView aparte</w:t>
      </w:r>
    </w:p>
    <w:p>
      <w:pPr>
        <w:spacing w:after="120" w:line="300" w:lineRule="auto"/>
      </w:pPr>
      <w:r>
        <w:rPr>
          <w:rFonts w:ascii="Calibri" w:hAnsi="Calibri"/>
          <w:b w:val="0"/>
          <w:i w:val="0"/>
          <w:color w:val="1F2937"/>
          <w:sz w:val="22"/>
        </w:rPr>
        <w:t>La página también monta un widget externo de TradingView. Hoy está configurado de forma fija con el símbolo NASDAQ:AAPL y no recibe el ticker seleccionado en el desplegable. Es decir: ese panel no es la misma serie que el gráfico OHLCV de la aplicación y no cambia automáticamente cuando elegís otro activo.</w:t>
      </w:r>
    </w:p>
    <w:p>
      <w:pPr>
        <w:pStyle w:val="Heading1"/>
      </w:pPr>
      <w:r>
        <w:rPr>
          <w:rFonts w:ascii="Calibri" w:hAnsi="Calibri"/>
          <w:b/>
          <w:i w:val="0"/>
          <w:color w:val="2E74B5"/>
          <w:sz w:val="32"/>
        </w:rPr>
        <w:t>6. Hallazgos y puntos a vigilar</w:t>
      </w:r>
    </w:p>
    <w:p>
      <w:pPr>
        <w:pStyle w:val="Heading2"/>
      </w:pPr>
      <w:r>
        <w:rPr>
          <w:rFonts w:ascii="Calibri" w:hAnsi="Calibri"/>
          <w:b/>
          <w:i w:val="0"/>
          <w:color w:val="2E74B5"/>
          <w:sz w:val="26"/>
        </w:rPr>
        <w:t>El fallback live de USD merece revisión</w:t>
      </w:r>
    </w:p>
    <w:p>
      <w:pPr>
        <w:spacing w:after="120" w:line="300" w:lineRule="auto"/>
      </w:pPr>
      <w:r>
        <w:rPr>
          <w:rFonts w:ascii="Calibri" w:hAnsi="Calibri"/>
          <w:b w:val="0"/>
          <w:i w:val="0"/>
          <w:color w:val="1F2937"/>
          <w:sz w:val="22"/>
        </w:rPr>
        <w:t>Si no hay cache para el modo USD subyacente, la función de fallback consulta Data912 usando el ticker local del instrumento y su tipo. La respuesta se etiqueta dentro de la serie pedida, pero ese dato puede ser el precio local del CEDEAR y no el subyacente en USD. En criollo: en un caso de cache vacío, se puede dibujar una cotización equivocada con la moneda equivocada. Conviene bloquear ese fallback para el modo USD o consultar explícitamente el subyacente.</w:t>
      </w:r>
    </w:p>
    <w:p>
      <w:pPr>
        <w:pStyle w:val="Heading2"/>
      </w:pPr>
      <w:r>
        <w:rPr>
          <w:rFonts w:ascii="Calibri" w:hAnsi="Calibri"/>
          <w:b/>
          <w:i w:val="0"/>
          <w:color w:val="2E74B5"/>
          <w:sz w:val="26"/>
        </w:rPr>
        <w:t>El vínculo CEDEAR → subyacente puede faltar</w:t>
      </w:r>
    </w:p>
    <w:p>
      <w:pPr>
        <w:spacing w:after="120" w:line="300" w:lineRule="auto"/>
      </w:pPr>
      <w:r>
        <w:rPr>
          <w:rFonts w:ascii="Calibri" w:hAnsi="Calibri"/>
          <w:b w:val="0"/>
          <w:i w:val="0"/>
          <w:color w:val="1F2937"/>
          <w:sz w:val="22"/>
        </w:rPr>
        <w:t>Los CEDEARs sembrados tienen underlyingAssetId, pero el sincronizador de catálogo crea nuevos instrumentos desde Data912 sin completar automáticamente esa relación. Si falta el vínculo, el ruteo cae al ticker local como plan B. Eso puede funcionar para algunos símbolos, pero no es una garantía de identificación correcta del subyacente.</w:t>
      </w:r>
    </w:p>
    <w:p>
      <w:pPr>
        <w:pStyle w:val="Heading2"/>
      </w:pPr>
      <w:r>
        <w:rPr>
          <w:rFonts w:ascii="Calibri" w:hAnsi="Calibri"/>
          <w:b/>
          <w:i w:val="0"/>
          <w:color w:val="2E74B5"/>
          <w:sz w:val="26"/>
        </w:rPr>
        <w:t>El ratio y el CCL no son la fuente de esta curva</w:t>
      </w:r>
    </w:p>
    <w:p>
      <w:pPr>
        <w:spacing w:after="120" w:line="300" w:lineRule="auto"/>
      </w:pPr>
      <w:r>
        <w:rPr>
          <w:rFonts w:ascii="Calibri" w:hAnsi="Calibri"/>
          <w:b w:val="0"/>
          <w:i w:val="0"/>
          <w:color w:val="1F2937"/>
          <w:sz w:val="22"/>
        </w:rPr>
        <w:t>El modelo guarda conversionRatio y la aplicación tiene fuentes de CCL para otras pantallas, pero el modo ARS CEDEAR activo usa el precio local. El modo USD subyacente usa una cotización estadounidense. No hay una paridad teórica histórica CCL × ratio en la pantalla actual.</w:t>
      </w:r>
    </w:p>
    <w:p>
      <w:pPr>
        <w:pStyle w:val="Heading2"/>
      </w:pPr>
      <w:r>
        <w:rPr>
          <w:rFonts w:ascii="Calibri" w:hAnsi="Calibri"/>
          <w:b/>
          <w:i w:val="0"/>
          <w:color w:val="2E74B5"/>
          <w:sz w:val="26"/>
        </w:rPr>
        <w:t>El modo teórico no es el camino principal</w:t>
      </w:r>
    </w:p>
    <w:p>
      <w:pPr>
        <w:spacing w:after="120" w:line="300" w:lineRule="auto"/>
      </w:pPr>
      <w:r>
        <w:rPr>
          <w:rFonts w:ascii="Calibri" w:hAnsi="Calibri"/>
          <w:b w:val="0"/>
          <w:i w:val="0"/>
          <w:color w:val="1F2937"/>
          <w:sz w:val="22"/>
        </w:rPr>
        <w:t>Existe una ruta conceptual cedear-theoretical en el ruteo, pero la interfaz no la ofrece y la carga histórica no implementa una serie derivada completa. Además, el ratio del seed está marcado como placeholder. No lo tomaría como dato operativo.</w:t>
      </w:r>
    </w:p>
    <w:p>
      <w:pPr>
        <w:pStyle w:val="Heading1"/>
      </w:pPr>
      <w:r>
        <w:rPr>
          <w:rFonts w:ascii="Calibri" w:hAnsi="Calibri"/>
          <w:b/>
          <w:i w:val="0"/>
          <w:color w:val="2E74B5"/>
          <w:sz w:val="32"/>
        </w:rPr>
        <w:t>7. Mapa rápido del código</w:t>
      </w:r>
    </w:p>
    <w:p>
      <w:pPr>
        <w:pStyle w:val="ListBullet"/>
        <w:spacing w:after="60"/>
        <w:ind w:left="540" w:hanging="271"/>
      </w:pPr>
      <w:r>
        <w:rPr>
          <w:rFonts w:ascii="Calibri" w:hAnsi="Calibri"/>
          <w:b/>
          <w:i w:val="0"/>
          <w:color w:val="1F4D78"/>
          <w:sz w:val="19"/>
        </w:rPr>
        <w:t>src/lib/market/data912-universe.ts</w:t>
      </w:r>
      <w:r>
        <w:rPr>
          <w:rFonts w:ascii="Calibri" w:hAnsi="Calibri"/>
          <w:b w:val="0"/>
          <w:i w:val="0"/>
          <w:color w:val="1F2937"/>
          <w:sz w:val="19"/>
        </w:rPr>
        <w:t xml:space="preserve"> — lee el universo de símbolos BYMA desde Data912.</w:t>
      </w:r>
    </w:p>
    <w:p>
      <w:pPr>
        <w:pStyle w:val="ListBullet"/>
        <w:spacing w:after="60"/>
        <w:ind w:left="540" w:hanging="271"/>
      </w:pPr>
      <w:r>
        <w:rPr>
          <w:rFonts w:ascii="Calibri" w:hAnsi="Calibri"/>
          <w:b/>
          <w:i w:val="0"/>
          <w:color w:val="1F4D78"/>
          <w:sz w:val="19"/>
        </w:rPr>
        <w:t>src/lib/market/catalog-sync.ts</w:t>
      </w:r>
      <w:r>
        <w:rPr>
          <w:rFonts w:ascii="Calibri" w:hAnsi="Calibri"/>
          <w:b w:val="0"/>
          <w:i w:val="0"/>
          <w:color w:val="1F2937"/>
          <w:sz w:val="19"/>
        </w:rPr>
        <w:t xml:space="preserve"> — sincroniza ese universo contra Instrument en la base.</w:t>
      </w:r>
    </w:p>
    <w:p>
      <w:pPr>
        <w:pStyle w:val="ListBullet"/>
        <w:spacing w:after="60"/>
        <w:ind w:left="540" w:hanging="271"/>
      </w:pPr>
      <w:r>
        <w:rPr>
          <w:rFonts w:ascii="Calibri" w:hAnsi="Calibri"/>
          <w:b/>
          <w:i w:val="0"/>
          <w:color w:val="1F4D78"/>
          <w:sz w:val="19"/>
        </w:rPr>
        <w:t>src/lib/monitoreo/data.ts</w:t>
      </w:r>
      <w:r>
        <w:rPr>
          <w:rFonts w:ascii="Calibri" w:hAnsi="Calibri"/>
          <w:b w:val="0"/>
          <w:i w:val="0"/>
          <w:color w:val="1F2937"/>
          <w:sz w:val="19"/>
        </w:rPr>
        <w:t xml:space="preserve"> — arma el catálogo del selector, consulta PriceCache y carga proveedores externos.</w:t>
      </w:r>
    </w:p>
    <w:p>
      <w:pPr>
        <w:pStyle w:val="ListBullet"/>
        <w:spacing w:after="60"/>
        <w:ind w:left="540" w:hanging="271"/>
      </w:pPr>
      <w:r>
        <w:rPr>
          <w:rFonts w:ascii="Calibri" w:hAnsi="Calibri"/>
          <w:b/>
          <w:i w:val="0"/>
          <w:color w:val="1F4D78"/>
          <w:sz w:val="19"/>
        </w:rPr>
        <w:t>src/lib/market/provider-routing.ts</w:t>
      </w:r>
      <w:r>
        <w:rPr>
          <w:rFonts w:ascii="Calibri" w:hAnsi="Calibri"/>
          <w:b w:val="0"/>
          <w:i w:val="0"/>
          <w:color w:val="1F2937"/>
          <w:sz w:val="19"/>
        </w:rPr>
        <w:t xml:space="preserve"> — decide proveedor, source, símbolo externo, moneda y política de ajuste.</w:t>
      </w:r>
    </w:p>
    <w:p>
      <w:pPr>
        <w:pStyle w:val="ListBullet"/>
        <w:spacing w:after="60"/>
        <w:ind w:left="540" w:hanging="271"/>
      </w:pPr>
      <w:r>
        <w:rPr>
          <w:rFonts w:ascii="Calibri" w:hAnsi="Calibri"/>
          <w:b/>
          <w:i w:val="0"/>
          <w:color w:val="1F4D78"/>
          <w:sz w:val="19"/>
        </w:rPr>
        <w:t>src/app/actions/monitoreo.ts</w:t>
      </w:r>
      <w:r>
        <w:rPr>
          <w:rFonts w:ascii="Calibri" w:hAnsi="Calibri"/>
          <w:b w:val="0"/>
          <w:i w:val="0"/>
          <w:color w:val="1F2937"/>
          <w:sz w:val="19"/>
        </w:rPr>
        <w:t xml:space="preserve"> — ordena cache, fallback live, histórico y merge.</w:t>
      </w:r>
    </w:p>
    <w:p>
      <w:pPr>
        <w:pStyle w:val="ListBullet"/>
        <w:spacing w:after="60"/>
        <w:ind w:left="540" w:hanging="271"/>
      </w:pPr>
      <w:r>
        <w:rPr>
          <w:rFonts w:ascii="Calibri" w:hAnsi="Calibri"/>
          <w:b/>
          <w:i w:val="0"/>
          <w:color w:val="1F4D78"/>
          <w:sz w:val="19"/>
        </w:rPr>
        <w:t>src/components/monitoreo/asset-selector.tsx</w:t>
      </w:r>
      <w:r>
        <w:rPr>
          <w:rFonts w:ascii="Calibri" w:hAnsi="Calibri"/>
          <w:b w:val="0"/>
          <w:i w:val="0"/>
          <w:color w:val="1F2937"/>
          <w:sz w:val="19"/>
        </w:rPr>
        <w:t xml:space="preserve"> — filtra y muestra el desplegable.</w:t>
      </w:r>
    </w:p>
    <w:p>
      <w:pPr>
        <w:pStyle w:val="ListBullet"/>
        <w:spacing w:after="60"/>
        <w:ind w:left="540" w:hanging="271"/>
      </w:pPr>
      <w:r>
        <w:rPr>
          <w:rFonts w:ascii="Calibri" w:hAnsi="Calibri"/>
          <w:b/>
          <w:i w:val="0"/>
          <w:color w:val="1F4D78"/>
          <w:sz w:val="19"/>
        </w:rPr>
        <w:t>src/components/monitoreo/monitoreo-page.tsx</w:t>
      </w:r>
      <w:r>
        <w:rPr>
          <w:rFonts w:ascii="Calibri" w:hAnsi="Calibri"/>
          <w:b w:val="0"/>
          <w:i w:val="0"/>
          <w:color w:val="1F2937"/>
          <w:sz w:val="19"/>
        </w:rPr>
        <w:t xml:space="preserve"> — implementa los modos USD subyacente / ARS CEDEAR y muestra proveedor/source.</w:t>
      </w:r>
    </w:p>
    <w:p>
      <w:pPr>
        <w:pStyle w:val="ListBullet"/>
        <w:spacing w:after="60"/>
        <w:ind w:left="540" w:hanging="271"/>
      </w:pPr>
      <w:r>
        <w:rPr>
          <w:rFonts w:ascii="Calibri" w:hAnsi="Calibri"/>
          <w:b/>
          <w:i w:val="0"/>
          <w:color w:val="1F4D78"/>
          <w:sz w:val="19"/>
        </w:rPr>
        <w:t>src/components/monitoreo/test.tsx</w:t>
      </w:r>
      <w:r>
        <w:rPr>
          <w:rFonts w:ascii="Calibri" w:hAnsi="Calibri"/>
          <w:b w:val="0"/>
          <w:i w:val="0"/>
          <w:color w:val="1F2937"/>
          <w:sz w:val="19"/>
        </w:rPr>
        <w:t xml:space="preserve"> — monta el widget fijo de TradingView NASDAQ:AAPL.</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0B2545"/>
                <w:sz w:val="22"/>
              </w:rPr>
              <w:t xml:space="preserve">Conclusión: </w:t>
            </w:r>
            <w:r>
              <w:rPr>
                <w:rFonts w:ascii="Calibri" w:hAnsi="Calibri"/>
                <w:b w:val="0"/>
                <w:i w:val="0"/>
                <w:color w:val="1F2937"/>
                <w:sz w:val="22"/>
              </w:rPr>
              <w:t>Si la pregunta es “¿de dónde sale AAPL en el selector?”, la respuesta es Data912 → catálogo propio → Instrument. Si la pregunta es “¿de dónde sale la curva?”, depende del modo: ARS CEDEAR = Data912 o Yahoo local; USD subyacente = FMP o Yahoo estadounidense. El portfolio solamente marca pertenencia y no inventa precios.</w:t>
            </w:r>
          </w:p>
        </w:tc>
      </w:tr>
    </w:tbl>
    <w:p>
      <w:pPr>
        <w:spacing w:after="0"/>
      </w:pP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B7280"/>
        <w:sz w:val="18"/>
      </w:rPr>
      <w:t>Portfolio-web | Monitoreo de mercado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