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distributed maturation delay in the profit–investment cycle: differentiable inverse calibration and identifiability limits</w:t>
      </w:r>
    </w:p>
    <w:p>
      <w:pPr>
        <w:jc w:val="center"/>
      </w:pPr>
      <w:r>
        <w:rPr>
          <w:b w:val="0"/>
          <w:i/>
          <w:sz w:val="22"/>
        </w:rPr>
        <w:t>Juan I. Tollo</w:t>
      </w:r>
    </w:p>
    <w:p>
      <w:pPr>
        <w:pStyle w:val="Heading1"/>
      </w:pPr>
      <w:r>
        <w:t>Abstract</w:t>
      </w:r>
    </w:p>
    <w:p>
      <w:r>
        <w:rPr>
          <w:b w:val="0"/>
          <w:i/>
          <w:sz w:val="22"/>
        </w:rPr>
        <w:t>We study the profit–investment cycle of the U.S. economy (quarterly, 1948–2026) through the lens of overaccumulation: past investment depresses current profitability with a delay. Using the cross-correlation function and a recession event study, we show a dominant contemporaneous co-movement together with a negative feedback centred about one year, which builds up before recessions—consistent with Tapia Granados (2012). Fixed-phase predator–prey oscillators (Lotka–Volterra, FitzHugh–Nagumo) cannot reproduce this shape. We instead pose a physical maturation-chain model, a distributed-delay ODE, and calibrate it by a differentiable inverse (physics-informed neural network with Fourier features). The inverse recovers the maturation lag cleanly on synthetic data (8.9% error) and estimates ≈1 year on real data; the lag is stable to transform choice and leave-one-crisis-out. Our central result is one of identifiability: the centre of the delay is robustly identified, but its distributional width is not, and the feedback is observationally equivalent to a linear VAR(p≥4) at the level of the second-order autocovariance.</w:t>
      </w:r>
    </w:p>
    <w:p>
      <w:pPr>
        <w:pStyle w:val="Heading1"/>
      </w:pPr>
      <w:r>
        <w:t>1. Introduction</w:t>
      </w:r>
    </w:p>
    <w:p>
      <w:r>
        <w:rPr>
          <w:b w:val="0"/>
          <w:i w:val="0"/>
          <w:sz w:val="22"/>
        </w:rPr>
        <w:t>The Marxian tradition of overaccumulation (Astarita; Tapia Granados, 2023) holds that capital accumulation eventually depresses the rate of profit, generating endogenous cycles and crises. A long line of nonlinear models—starting from Goodwin's (1967) growth cycle, a Lotka–Volterra (LV) predator–prey system, and its empirical predator–prey estimate by Goldstein (1999)—formalises this as an antagonism between profits and a second variable. These models impose an instantaneous coupling with a fixed 90° phase lag.</w:t>
      </w:r>
    </w:p>
    <w:p>
      <w:r>
        <w:rPr>
          <w:b w:val="0"/>
          <w:i w:val="0"/>
          <w:sz w:val="22"/>
        </w:rPr>
        <w:t>We ask a narrower, mechanistic question: is the feedback from investment to profits an instantaneous antagonism, or a delayed one whose timing reflects the maturation (gestation) of investment? We find the latter. The empirical signature is a contemporaneous co-movement plus a negative feedback concentrated about one year out—a shape no fixed-phase oscillator can generate, but a distributed-delay system can. We formalise this as a physical maturation-chain ODE and calibrate it by a differentiable inverse problem. The contribution is descriptive and methodological: a transform-robust, leave-one-out-stable estimate of a structural maturation lag, recovered by an inverse method where classical single-shooting fails, together with an explicit characterisation of what cannot be identified from these data.</w:t>
      </w:r>
    </w:p>
    <w:p>
      <w:pPr>
        <w:pStyle w:val="Heading1"/>
      </w:pPr>
      <w:r>
        <w:t>2. Data and methods</w:t>
      </w:r>
    </w:p>
    <w:p>
      <w:r>
        <w:rPr>
          <w:b w:val="0"/>
          <w:i w:val="0"/>
          <w:sz w:val="22"/>
        </w:rPr>
        <w:t>We use quarterly U.S. corporate profits and gross private domestic investment (FRED, 1948–2026, n=313). To avoid the spurious order-4 structure that the year-over-year transform injects at the lag of interest, we work in quarter-over-quarter growth (x_t = Δlog), which we verified roughly halves the apparent feedback magnitude vs YoY.</w:t>
      </w:r>
    </w:p>
    <w:p>
      <w:r>
        <w:rPr>
          <w:b w:val="0"/>
          <w:i w:val="0"/>
          <w:sz w:val="22"/>
        </w:rPr>
        <w:t>Descriptive. We compute the sample cross-correlation function (CCF) ρ(k) = corr(profits_t, investment_{t+k}) and, around the twelve NBER recessions, a superposed-epoch (event-study) composite aligned at the investment trough.</w:t>
      </w:r>
    </w:p>
    <w:p>
      <w:r>
        <w:rPr>
          <w:b w:val="0"/>
          <w:i w:val="0"/>
          <w:sz w:val="22"/>
        </w:rPr>
        <w:t>Physical model. Investment matures through n stages before depressing profits; by the linear-chain trick this realises a Gamma-distributed delay of mean μ:</w:t>
      </w:r>
    </w:p>
    <w:p>
      <w:r>
        <w:rPr>
          <w:b w:val="0"/>
          <w:i w:val="0"/>
          <w:sz w:val="20"/>
        </w:rPr>
        <w:t xml:space="preserve">    dP/dt = c·I − d·P − k·m,    dI/dt = a·P − b·I,    m(t) = Σ_j w_j(μ)·I(t−j),</w:t>
      </w:r>
    </w:p>
    <w:p>
      <w:r>
        <w:rPr>
          <w:b w:val="0"/>
          <w:i w:val="0"/>
          <w:sz w:val="22"/>
        </w:rPr>
        <w:t>with P profits, I investment, m matured investment, and w(μ) a Gamma kernel of mean μ (the maturation lag).</w:t>
      </w:r>
    </w:p>
    <w:p>
      <w:r>
        <w:rPr>
          <w:b w:val="0"/>
          <w:i w:val="0"/>
          <w:sz w:val="22"/>
        </w:rPr>
        <w:t>Differentiable inverse. We calibrate (a,b,c,d,k,μ) by an inverse physics-informed neural network (PINN): a network t↦[P,I] trained with a data loss on the observations and a physics-residual loss enforcing the ODE, optimising network weights and ODE parameters jointly (loss = L_data + λ·L_phys, λ=1; after Raissi et al., 2019; Rackauckas et al., 2020). On long windows a plain network suffers spectral bias and the lag collapses; Fourier-feature inputs remove this. We validate recovery on synthetic data with a known lag, and assess identifiability by a profile over μ, a leave-one-crisis-out analysis, and the theoretical CCF of a fitted VAR(p) from the discrete Lyapunov equation.</w:t>
      </w:r>
    </w:p>
    <w:p>
      <w:pPr>
        <w:pStyle w:val="Heading1"/>
      </w:pPr>
      <w:r>
        <w:t>3. Results</w:t>
      </w:r>
    </w:p>
    <w:p>
      <w:r>
        <w:rPr>
          <w:b w:val="0"/>
          <w:i w:val="0"/>
          <w:sz w:val="22"/>
        </w:rPr>
        <w:t>The pattern: a delayed feedback, not an instantaneous antagonism. The CCF oscillates rather than decaying: a dominant contemporaneous peak (ρ(0)≈+0.6) and a negative lobe at lags 4–5 quarters (≈−0.3 in QoQ), returning to zero by lag 6 (Fig. 1). The event study (Fig. 2) shows profits turning down first and an investment–profit gap that builds up ~1–1.5 years before the trough—the overaccumulation buildup documented by Tapia Granados (2012), here re-confirmed by an independent method. The effective phase is near co-movement (~10°), not the 90° of LV/FN; fixed-phase oscillators are accordingly refuted, as their CCF is a rigid cosine, not an isolated pulse plus a delayed negative lobe.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16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overaccumu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Cross-correlation profits↔investment: a strong contemporaneous co-movement and a delayed negative feedback (investment maturing ~1 year earlier depresses current profits). Robust to excluding 2008/2020.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55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composite_cri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Composite of NBER recessions aligned at the investment trough. Profits lead the downturn and the investment−profit gap builds up ~1–1.5 years before the trough.</w:t>
      </w:r>
    </w:p>
    <w:p>
      <w:r>
        <w:rPr>
          <w:b w:val="0"/>
          <w:i w:val="0"/>
          <w:sz w:val="22"/>
        </w:rPr>
        <w:t>The maturation lag is identifiable and stable. Five methods converge on a maturation lag of ≈4 quarters: the empirical kernel, the distributed-lag regression, a VAR(p≥4), a hierarchical pooled estimate (μ_pop≈4.7–4.9), and the differentiable inverse. The Fourier-feature inverse PINN recovers a known synthetic lag with 8.9% error (4.0→4.36 quarters) and estimates 3.90 quarters = 0.98 years on real data; the lag is stable across difference transforms (QoQ, Δlog) and to leave-one-crisis-out (span 0.62 quarter). The classical single-shooting and the latent-state inverse fail (lag collapses or biases by ~55%); the well-posed convolution form with Fourier features succeeds.</w:t>
      </w:r>
    </w:p>
    <w:p>
      <w:r>
        <w:rPr>
          <w:b w:val="0"/>
          <w:i w:val="0"/>
          <w:sz w:val="22"/>
        </w:rPr>
        <w:t>What cannot be identified. The feedback explains only ~3% of the variance of profit growth (vs ~35% for the contemporaneous co-movement). Consequently the width of the delay distribution is not identifiable (flat likelihood profile; AIC favours a point delay), nor is its variation across crises. Moreover, the negative lobe is reproduced by the theoretical CCF of a linear VAR(p≥4) from its coefficients alone (Fig. 3): the distributed-delay kernel is observationally equivalent, at the level of the second-order autocovariance, to a linear stochastic system with longer memory. The maturation model is an interpretable reparameterisation of that linear content, not a mechanism separable from it with these data. A bifurcation analysis of the calibrated system does not yield a delay-induced Hopf instability, so we do not claim crises to be an endogenous delayed-feedback instability.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523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var_lyapunov_cc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Theoretical CCF of a fitted VAR(p) (Lyapunov) vs the empirical CCF. For p≥4 the linear model already reproduces the negative lobe at lags 4–5 from its coefficients, establishing observational equivalence with the distributed-delay kernel.</w:t>
      </w:r>
    </w:p>
    <w:p>
      <w:pPr>
        <w:pStyle w:val="Heading1"/>
      </w:pPr>
      <w:r>
        <w:t>4. Discussion</w:t>
      </w:r>
    </w:p>
    <w:p>
      <w:r>
        <w:rPr>
          <w:b w:val="0"/>
          <w:i w:val="0"/>
          <w:sz w:val="22"/>
        </w:rPr>
        <w:t>The substantive picture is consistent and honest. There is an endogenous overaccumulation feedback with a maturation lag of about one year, stronger near recessions, and we recover it with a physical, differentiable model where classical inversion fails. But two limits bound the claim. First, the economic content of the lag—its ~1-year centre and pre-recession buildup—is already in Tapia Granados (2012); our addition is the model and the inverse method, not the phenomenon. Second, with nine usable post-war crises and a ~3% signal-to-variance ratio, the data cannot separate a genuinely distributed (stochastic) delay from a point delay, nor the maturation mechanism from a linear long-memory VAR. The microfoundation of a distributed delay is the aggregation of heterogeneous investment gestation lags (Kalecki, 1935; Kydland and Prescott, 1982), so a distributed kernel is the mechanical consequence of aggregation rather than a conjecture; but confirming its shape requires either a multi-country panel (many more episodes, to identify the width) or measured sectoral gestation times (to predict the macro kernel, a test a reduced-form VAR cannot pass). These are the natural next steps.</w:t>
      </w:r>
    </w:p>
    <w:p>
      <w:pPr>
        <w:pStyle w:val="Heading1"/>
      </w:pPr>
      <w:r>
        <w:t>5. Conclusion</w:t>
      </w:r>
    </w:p>
    <w:p>
      <w:r>
        <w:rPr>
          <w:b w:val="0"/>
          <w:i w:val="0"/>
          <w:sz w:val="22"/>
        </w:rPr>
        <w:t>The profit–investment overaccumulation feedback is well described by a distributed maturation delay centred at ~1 year, recovered by a differentiable inverse that overcomes the spectral bias and ill-posedness of classical calibration. The robust, transferable result is the location of the identifiability frontier: the delay's centre is recoverable and stable, while its width and its separation from a linear model are not—a boundary set by signal strength and episode count, not by tuning. Pushing past it requires new data, not a reparameterisation.</w:t>
      </w:r>
    </w:p>
    <w:p>
      <w:pPr>
        <w:pStyle w:val="Heading1"/>
      </w:pPr>
      <w:r>
        <w:t>Appendix A. Robustness and falsification battery</w:t>
      </w:r>
    </w:p>
    <w:p>
      <w:r>
        <w:rPr>
          <w:b w:val="0"/>
          <w:i w:val="0"/>
          <w:sz w:val="22"/>
        </w:rPr>
        <w:t>Table A1 collects the auxiliary tests. The location of the lag (≈5 quarters) is stable within the difference family (QoQ, Δlog) and to leave-one-crisis-out (Fig. A1, left; pooled μ≈4.7, span 0.62), though per-crisis CIs are wide because identification emerges only by pooling. The negative lobe is not a clean crisis-specific signature: a kernel placebo finds it roughly as often off-crisis, and a VAR(p≥4) reproduces it from its coefficients (Fig. 3). YoY both inflates the magnitude ~2× and shifts the apparent lag (to ~2 quarters); two-sided cycle filters collapse it to a contemporaneous term — so we report QoQ throughout (Fig. A1, right).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Transform robustness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lag robust to transform?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μ*≈5q (QoQ/Δlog); YoY→2q; filters→1q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Lag stability / LOO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lag stable across crises?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pooled μ≈4.7q; LOO span 0.62q; all in CI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Hierarchical pooling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population lag &amp; spread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μ_pop≈4.9q [4.4,5.5]; spread contested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Kernel placebo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 the 4–5q lobe crisis-specific?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ubiquitous (appears off-crisis too)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VAR(p) Lyapunov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does a linear VAR reproduce it?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 for p≥4 ⇒ obs. equivalence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Pooled-dynamics placebo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 shared crisis dynamics special?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preliminary: ratios ≈ crisis ⇒ not special</w:t>
            </w:r>
          </w:p>
        </w:tc>
      </w:tr>
    </w:tbl>
    <w:p>
      <w:r>
        <w:rPr>
          <w:b w:val="0"/>
          <w:i/>
          <w:sz w:val="18"/>
        </w:rPr>
        <w:t>Table A1. Auxiliary robustness and falsification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429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lag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A1a. Per-crisis maturation lag with leave-one-crisis-out: the pooled lag does not depend on any single episode.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7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transform_robustn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A1b. Estimated lag location under different transforms: stable within the difference family; shifted by YoY and by two-sided cycle filters.</w:t>
      </w:r>
    </w:p>
    <w:p>
      <w:pPr>
        <w:pStyle w:val="Heading1"/>
      </w:pPr>
      <w:r>
        <w:t>Appendix B. Inverse-PINN variants and a stability check</w:t>
      </w:r>
    </w:p>
    <w:p>
      <w:r>
        <w:rPr>
          <w:b w:val="0"/>
          <w:i w:val="0"/>
          <w:sz w:val="22"/>
        </w:rPr>
        <w:t>The maturation lag is recoverable by the differentiable inverse only when the surrogate network can represent the series and the parameters are well-posed (Table B1). A plain network on the long window suffers spectral bias and the lag collapses; per-crisis pooling fixes the fit (R²=0.86) but not the lag; only Fourier-feature inputs recover the lag cleanly (8.9% synthetic error, 0.98 years real). A bifurcation analysis of the calibrated system (Fig. B1) finds no delay-induced Hopf instability: the instability comes from low damping, not the lag, and the structural fit disagrees with the distributed-lag estimate on μ. We therefore do not advance an 'endogenous delayed-feedback instability' claim — it would require the stronger identification a panel or micro gestation data could provide.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Variant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Synthetic (true 4q)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Real lag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Single-shooting / convolution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1.86q (54% err)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collapses to 0.23q, non-physical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Per-crisis pooled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1.64q (59% err)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0.84q (R²=0.86)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fits, lag collapses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Profile-likelihood in 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inconclusive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unstable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Fourier features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4.36q (8.9%)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3.90q = 0.98yr (R²=1)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recovers</w:t>
            </w:r>
          </w:p>
        </w:tc>
      </w:tr>
    </w:tbl>
    <w:p>
      <w:r>
        <w:rPr>
          <w:b w:val="0"/>
          <w:i/>
          <w:sz w:val="18"/>
        </w:rPr>
        <w:t>Table B1. Inverse-PINN variants; only Fourier-feature inputs both fit and recover the lag.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9694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bifur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69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B1. Stability of the calibrated maturation system: no delay-induced Hopf (left), and the Hopf boundary in (μ, k) with the estimate marked (right). The mechanistic 'instability' reading is not supported by these data.</w:t>
      </w:r>
    </w:p>
    <w:p>
      <w:pPr>
        <w:pStyle w:val="Heading1"/>
      </w:pPr>
      <w:r>
        <w:t>References</w:t>
      </w:r>
    </w:p>
    <w:p>
      <w:r>
        <w:rPr>
          <w:sz w:val="18"/>
        </w:rPr>
        <w:t>Almon, S. (1965). The distributed lag between capital appropriations and expenditures. Econometrica 33(1), 178–196.</w:t>
      </w:r>
    </w:p>
    <w:p>
      <w:r>
        <w:rPr>
          <w:sz w:val="18"/>
        </w:rPr>
        <w:t>Goldstein, J.P. (1999). Predator–prey model estimates of the cyclical profit squeeze. Metroeconomica 50(2), 139–173.</w:t>
      </w:r>
    </w:p>
    <w:p>
      <w:r>
        <w:rPr>
          <w:sz w:val="18"/>
        </w:rPr>
        <w:t>Goodwin, R.M. (1967). A growth cycle. In Socialism, Capitalism and Economic Growth. Cambridge University Press.</w:t>
      </w:r>
    </w:p>
    <w:p>
      <w:r>
        <w:rPr>
          <w:sz w:val="18"/>
        </w:rPr>
        <w:t>Kalecki, M. (1935). A macrodynamic theory of business cycles. Econometrica 3(3), 327–344.</w:t>
      </w:r>
    </w:p>
    <w:p>
      <w:r>
        <w:rPr>
          <w:sz w:val="18"/>
        </w:rPr>
        <w:t>Kydland, F.E., Prescott, E.C. (1982). Time to build and aggregate fluctuations. Econometrica 50(6), 1345–1370.</w:t>
      </w:r>
    </w:p>
    <w:p>
      <w:r>
        <w:rPr>
          <w:sz w:val="18"/>
        </w:rPr>
        <w:t>Raissi, M., Perdikaris, P., Karniadakis, G.E. (2019). Physics-informed neural networks. Journal of Computational Physics 378, 686–707.</w:t>
      </w:r>
    </w:p>
    <w:p>
      <w:r>
        <w:rPr>
          <w:sz w:val="18"/>
        </w:rPr>
        <w:t>Rackauckas, C., et al. (2020). Universal differential equations for scientific machine learning. arXiv:2001.04385.</w:t>
      </w:r>
    </w:p>
    <w:p>
      <w:r>
        <w:rPr>
          <w:sz w:val="18"/>
        </w:rPr>
        <w:t>Ramsay, J., Hooker, G. (2017). Dynamic Data Analysis. Springer.</w:t>
      </w:r>
    </w:p>
    <w:p>
      <w:r>
        <w:rPr>
          <w:sz w:val="18"/>
        </w:rPr>
        <w:t>Tapia Granados, J.A. (2012). Statistical evidence of falling profits as cause of recession. Review of Radical Political Economics 44(4), 484–493.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