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Character overview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Pronouns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Ancestry/Species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Class/Multiclass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Subclass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Background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Tagline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Level Progression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89.857142857143"/>
        <w:gridCol w:w="1289.857142857143"/>
        <w:gridCol w:w="1289.857142857143"/>
        <w:gridCol w:w="1289.857142857143"/>
        <w:gridCol w:w="1289.857142857143"/>
        <w:gridCol w:w="1289.857142857143"/>
        <w:gridCol w:w="1289.857142857143"/>
        <w:tblGridChange w:id="0">
          <w:tblGrid>
            <w:gridCol w:w="1289.857142857143"/>
            <w:gridCol w:w="1289.857142857143"/>
            <w:gridCol w:w="1289.857142857143"/>
            <w:gridCol w:w="1289.857142857143"/>
            <w:gridCol w:w="1289.857142857143"/>
            <w:gridCol w:w="1289.857142857143"/>
            <w:gridCol w:w="1289.857142857143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Level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Proficiency Bonues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Features Gained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Subclass features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Resources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Decisions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Full Feature Reference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Feature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&lt;Description&gt;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Spell &amp; Resources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Equipment &amp; Inventory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Character Story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