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766B" w14:textId="77777777" w:rsidR="00C163DA" w:rsidRPr="00777853" w:rsidRDefault="00000000" w:rsidP="007778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UNIVERSIDAD AUTÓNOMA DE OCCIDENTE</w:t>
      </w:r>
    </w:p>
    <w:p w14:paraId="09B0B743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6434DFE5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1602F4B0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6DC4E231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257A8709" w14:textId="2E339CF9" w:rsidR="00C163DA" w:rsidRPr="00777853" w:rsidRDefault="00000000" w:rsidP="007778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PROYECTO </w:t>
      </w:r>
      <w:r w:rsidR="00777853"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INTEGRADOR CORTE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2</w:t>
      </w:r>
    </w:p>
    <w:p w14:paraId="1BDFA57E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7A3A0A6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B272FB3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2AC734E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8B9A2BA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B86947D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49F7757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89B2A8D" w14:textId="77777777" w:rsidR="00C163DA" w:rsidRPr="00777853" w:rsidRDefault="00000000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Sistema de detección, segmentación y clasificación de fracturas pélvicas a partir de tomografía computarizada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br/>
        <w:t>(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PENGWIN)</w:t>
      </w:r>
    </w:p>
    <w:p w14:paraId="2A843EFE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11A97E1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6457FBF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D5227A2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F95B822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D3FB7D1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29CC02B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5717B67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8274088" w14:textId="20335AA8" w:rsidR="00777853" w:rsidRPr="00777853" w:rsidRDefault="00000000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Grupos de 4–5 estudiantes</w:t>
      </w:r>
    </w:p>
    <w:p w14:paraId="2999A52F" w14:textId="77777777" w:rsidR="00777853" w:rsidRPr="00777853" w:rsidRDefault="00777853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3BC4B9A" w14:textId="62EFEE66" w:rsidR="00C163DA" w:rsidRPr="00777853" w:rsidRDefault="00000000" w:rsidP="00777853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Semestre 2026-2</w:t>
      </w:r>
    </w:p>
    <w:p w14:paraId="09AD0766" w14:textId="77777777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p w14:paraId="4E018D39" w14:textId="77777777" w:rsidR="00C163DA" w:rsidRPr="00777853" w:rsidRDefault="00000000" w:rsidP="00777853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1.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Contexto y propósito del proyecto</w:t>
      </w:r>
    </w:p>
    <w:p w14:paraId="2C93B440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Las fracturas pélvicas de alta energía se encuentran entre las lesiones ortopédicas de mayor complejidad, debido a sus elevadas tasas de discapacidad y mortalidad. En el contexto de la planeación quirúrgica de su reducción, es necesario identificar los fragmentos óseos presentes, determinar a qué región anatómica pertenecen y estimar su separación con respecto a la posición del hueso de origen. Actualmente, buena parte de este proceso depende de la interpretación experta de imágenes de tomografía computarizada (CT).</w:t>
      </w:r>
    </w:p>
    <w:p w14:paraId="3976CE59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En este proyecto se trabajará con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internacional PENGWIN (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Pelvic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Bone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Fragments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with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Injuries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Segmentation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Challenge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, MICCAI 2024–2026), utilizado como fuente de datos real con anotaciones de fragmentos validadas por expertos ortopedistas. El propósito es que cada equipo diseñe e implemente un sistema propio que integre detección, segmentación, clasificación y medición, evitando limitarse al uso directo de arquitecturas de alto nivel previamente entrenadas.</w:t>
      </w:r>
    </w:p>
    <w:p w14:paraId="1DD6F0AB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El sistema desarrollado deberá ser capaz de:</w:t>
      </w:r>
    </w:p>
    <w:p w14:paraId="59DB9CC6" w14:textId="77777777" w:rsidR="00C163DA" w:rsidRPr="00777853" w:rsidRDefault="00000000" w:rsidP="0077785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Detectar cada región ósea pélvica presente en un corte de CT.</w:t>
      </w:r>
    </w:p>
    <w:p w14:paraId="591A2ACD" w14:textId="77777777" w:rsidR="00C163DA" w:rsidRPr="00777853" w:rsidRDefault="00000000" w:rsidP="0077785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Segmentar los fragmentos individuales dentro de cada región y clasificarlos según el hueso al que pertenecen, utilizando una codificación por color.</w:t>
      </w:r>
    </w:p>
    <w:p w14:paraId="5BE8D044" w14:textId="77777777" w:rsidR="00C163DA" w:rsidRPr="00777853" w:rsidRDefault="00000000" w:rsidP="0077785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Medir, en milímetros, la distancia de separación de cada fragmento conminuto respecto al fragmento principal del hueso al que pertenece.</w:t>
      </w:r>
    </w:p>
    <w:p w14:paraId="0D8A99B9" w14:textId="77777777" w:rsidR="00C163DA" w:rsidRPr="00777853" w:rsidRDefault="00000000" w:rsidP="0077785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Integrar los resultados en un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interactivo con tres visualizadores y un demo desplegado en vivo.</w:t>
      </w:r>
    </w:p>
    <w:p w14:paraId="1937F998" w14:textId="77777777" w:rsidR="00C163DA" w:rsidRPr="00777853" w:rsidRDefault="00000000" w:rsidP="00777853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Alcance académico y uso responsable. El sistema desarrollado tiene exclusivamente fines académicos. No constituye un dispositivo médico, no ha sido validado clínicamente y no debe presentarse ni utilizarse como herramienta para apoyar decisiones quirúrgicas reales. </w:t>
      </w:r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 xml:space="preserve">Esta advertencia deberá aparecer de manera visible tanto en el </w:t>
      </w:r>
      <w:proofErr w:type="spellStart"/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dashboard</w:t>
      </w:r>
      <w:proofErr w:type="spellEnd"/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 xml:space="preserve"> como en el </w:t>
      </w:r>
      <w:proofErr w:type="spellStart"/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model</w:t>
      </w:r>
      <w:proofErr w:type="spellEnd"/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card</w:t>
      </w:r>
      <w:proofErr w:type="spellEnd"/>
      <w:r w:rsidRPr="00777853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 xml:space="preserve"> de cada equipo.</w:t>
      </w:r>
    </w:p>
    <w:p w14:paraId="136EF637" w14:textId="3954EBDD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2. </w:t>
      </w:r>
      <w:proofErr w:type="spellStart"/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:</w:t>
      </w:r>
      <w:hyperlink r:id="rId8" w:history="1">
        <w:r w:rsidR="00C163DA" w:rsidRPr="00777853">
          <w:rPr>
            <w:rStyle w:val="Hipervnculo"/>
            <w:rFonts w:ascii="Times New Roman" w:hAnsi="Times New Roman" w:cs="Times New Roman"/>
            <w:sz w:val="24"/>
            <w:szCs w:val="24"/>
            <w:lang w:val="es-CO"/>
          </w:rPr>
          <w:t xml:space="preserve"> PENGWIN</w:t>
        </w:r>
      </w:hyperlink>
    </w:p>
    <w:p w14:paraId="427BC643" w14:textId="77777777" w:rsid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Fuente de datos: pengwin.grand-challenge.org. </w:t>
      </w:r>
    </w:p>
    <w:p w14:paraId="22E86616" w14:textId="3EB8615B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contiene cortes de CT de pacientes con fractura pélvica, acompañados de máscaras de fragmentos anotadas y validadas por expertos ortopedistas. Por esta razón, los equipos no deberán generar manualmente nuevas etiquetas para cumplir con los requisitos del proyecto.</w:t>
      </w:r>
    </w:p>
    <w:p w14:paraId="48A1261E" w14:textId="77777777" w:rsidR="00C163DA" w:rsidRPr="00777853" w:rsidRDefault="00000000" w:rsidP="0077785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2.1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Taxonomía anatómica</w:t>
      </w:r>
    </w:p>
    <w:p w14:paraId="69403BB7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La taxonomía deberá utilizarse exactamente como se encuentra definida en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. Cada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hemipelvis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se consolida como una única región anatómica por lateralidad; por tanto, no se deberán subdividir de manera independiente el ilion, el isquion y el pubis. Una taxonomía más detallada no tendría un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ground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truth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verificable y no será aceptada como parte del entregable.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163DA" w:rsidRPr="00777853" w14:paraId="0B558952" w14:textId="77777777">
        <w:trPr>
          <w:jc w:val="center"/>
        </w:trPr>
        <w:tc>
          <w:tcPr>
            <w:tcW w:w="3041" w:type="dxa"/>
            <w:shd w:val="clear" w:color="auto" w:fill="D9E2F3"/>
          </w:tcPr>
          <w:p w14:paraId="603FCE1E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Categoría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anatómica</w:t>
            </w:r>
            <w:proofErr w:type="spellEnd"/>
          </w:p>
        </w:tc>
        <w:tc>
          <w:tcPr>
            <w:tcW w:w="3041" w:type="dxa"/>
            <w:shd w:val="clear" w:color="auto" w:fill="D9E2F3"/>
          </w:tcPr>
          <w:p w14:paraId="0AD351A8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Lateralidad</w:t>
            </w:r>
          </w:p>
        </w:tc>
        <w:tc>
          <w:tcPr>
            <w:tcW w:w="3041" w:type="dxa"/>
            <w:shd w:val="clear" w:color="auto" w:fill="D9E2F3"/>
          </w:tcPr>
          <w:p w14:paraId="67F05E10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C163DA" w:rsidRPr="00777853" w14:paraId="4065D0A0" w14:textId="77777777">
        <w:trPr>
          <w:jc w:val="center"/>
        </w:trPr>
        <w:tc>
          <w:tcPr>
            <w:tcW w:w="3041" w:type="dxa"/>
            <w:vAlign w:val="center"/>
          </w:tcPr>
          <w:p w14:paraId="6B81CBC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Sacro (SA)</w:t>
            </w:r>
          </w:p>
        </w:tc>
        <w:tc>
          <w:tcPr>
            <w:tcW w:w="3041" w:type="dxa"/>
            <w:vAlign w:val="center"/>
          </w:tcPr>
          <w:p w14:paraId="6D738BF3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No aplica (línea media)</w:t>
            </w:r>
          </w:p>
        </w:tc>
        <w:tc>
          <w:tcPr>
            <w:tcW w:w="3041" w:type="dxa"/>
            <w:vAlign w:val="center"/>
          </w:tcPr>
          <w:p w14:paraId="04CCD075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Hueso único, sin lateralidad.</w:t>
            </w:r>
          </w:p>
        </w:tc>
      </w:tr>
      <w:tr w:rsidR="00C163DA" w:rsidRPr="0004140B" w14:paraId="4855FC7E" w14:textId="77777777">
        <w:trPr>
          <w:jc w:val="center"/>
        </w:trPr>
        <w:tc>
          <w:tcPr>
            <w:tcW w:w="3041" w:type="dxa"/>
            <w:vAlign w:val="center"/>
          </w:tcPr>
          <w:p w14:paraId="1D0165D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Hueso coxal izquierdo</w:t>
            </w:r>
          </w:p>
        </w:tc>
        <w:tc>
          <w:tcPr>
            <w:tcW w:w="3041" w:type="dxa"/>
            <w:vAlign w:val="center"/>
          </w:tcPr>
          <w:p w14:paraId="59ACA92B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Izquierda</w:t>
            </w:r>
          </w:p>
        </w:tc>
        <w:tc>
          <w:tcPr>
            <w:tcW w:w="3041" w:type="dxa"/>
            <w:vAlign w:val="center"/>
          </w:tcPr>
          <w:p w14:paraId="4FE2BC13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Incluye ilion, isquion y pubis fusionados.</w:t>
            </w:r>
          </w:p>
        </w:tc>
      </w:tr>
      <w:tr w:rsidR="00C163DA" w:rsidRPr="0004140B" w14:paraId="07EE7CE6" w14:textId="77777777">
        <w:trPr>
          <w:jc w:val="center"/>
        </w:trPr>
        <w:tc>
          <w:tcPr>
            <w:tcW w:w="3041" w:type="dxa"/>
            <w:vAlign w:val="center"/>
          </w:tcPr>
          <w:p w14:paraId="25C45494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 xml:space="preserve">Hueso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coxal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 xml:space="preserve"> derecho</w:t>
            </w:r>
          </w:p>
        </w:tc>
        <w:tc>
          <w:tcPr>
            <w:tcW w:w="3041" w:type="dxa"/>
            <w:vAlign w:val="center"/>
          </w:tcPr>
          <w:p w14:paraId="77ED6D55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Derecha</w:t>
            </w:r>
          </w:p>
        </w:tc>
        <w:tc>
          <w:tcPr>
            <w:tcW w:w="3041" w:type="dxa"/>
            <w:vAlign w:val="center"/>
          </w:tcPr>
          <w:p w14:paraId="6A883F3A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Incluye ilion, isquion y pubis fusionados.</w:t>
            </w:r>
          </w:p>
        </w:tc>
      </w:tr>
    </w:tbl>
    <w:p w14:paraId="633A3B73" w14:textId="77777777" w:rsidR="00C163DA" w:rsidRPr="00777853" w:rsidRDefault="00C163DA" w:rsidP="00777853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C0797F3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Cada región anatómica puede contener hasta 10 fragmentos etiquetados individualmente cuando existe una fractura. Cuando el hueso no presenta fractura, se representa como un único fragmento.</w:t>
      </w:r>
    </w:p>
    <w:p w14:paraId="5A5D11B4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2.2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Acceso y manejo de los datos</w:t>
      </w:r>
    </w:p>
    <w:p w14:paraId="3F7D0AB8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Los conjuntos de entrenamiento están disponibles en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Zenodo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. Antes de iniciar la semana 1, cada equipo deberá verificar el proceso de registro y aceptación de términos. Si se requiere una aprobación con tiempo de espera, esta deberá resolverse antes de la publicación del proyecto.</w:t>
      </w:r>
    </w:p>
    <w:p w14:paraId="3B111700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El espaciado físico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vóxel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(mm/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vóxel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) deberá obtenerse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header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del archivo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NIfTI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y utilizarse en todas las medidas de distancia. En ningún caso deberá reportarse una distancia expresada en píxeles como si correspondiera a una medida clínica.</w:t>
      </w:r>
    </w:p>
    <w:p w14:paraId="19AC32E5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3.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Requisitos funcionales obligatorios</w:t>
      </w:r>
    </w:p>
    <w:p w14:paraId="7E293123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El proyecto se estructura en cuatro pilares funcionales que deberán estar implementados y operativos en todos los equipos. Los diferentes niveles de desempeño podrán reflejarse en la robustez, precisión y calidad de la solución, pero ninguno de estos cuatro componentes podrá omitirse.</w:t>
      </w:r>
    </w:p>
    <w:p w14:paraId="0D4F0387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3.1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Detección</w:t>
      </w:r>
    </w:p>
    <w:p w14:paraId="2B47169B" w14:textId="61D0E931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El sistema deberá localizar mediante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bounding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boxes cada región anatómica presente en el corte. Para ello se utilizará una cabeza de detección propia. La supresión de no máximos (NMS) deberá ser implementada por el equipo. </w:t>
      </w:r>
    </w:p>
    <w:p w14:paraId="613AF380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3.2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Segmentación y clasificación de fragmentos</w:t>
      </w:r>
    </w:p>
    <w:p w14:paraId="2D9C625F" w14:textId="21803A30" w:rsidR="00C163DA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El sistema deberá generar una máscara de instancia para cada fragmento óseo y asignar un color de acuerdo con la región anatómica de pertenencia: sacro, coxal izquierdo o coxal derecho. La arquitectura deberá combinar una salida semántica, correspondiente a la categoría anatómica, con una salida de instancia para identificar cada fragmento individual. Se seguirá una lógica de dos etapas</w:t>
      </w:r>
      <w:r w:rsidR="00777853">
        <w:rPr>
          <w:rFonts w:ascii="Times New Roman" w:hAnsi="Times New Roman" w:cs="Times New Roman"/>
          <w:sz w:val="24"/>
          <w:szCs w:val="24"/>
          <w:lang w:val="es-CO"/>
        </w:rPr>
        <w:t>;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primero se identifican las regiones anatómicas generales y posteriormente los fragmentos contenidos dentro de cada región, de acuerdo con la lógica descrita en la literatura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challenge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48A99809" w14:textId="77777777" w:rsidR="0004140B" w:rsidRPr="00777853" w:rsidRDefault="0004140B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6376AD6D" w14:textId="77777777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3.3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Medición de la distancia de separación</w:t>
      </w:r>
    </w:p>
    <w:p w14:paraId="5AE82369" w14:textId="72D82284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Para cada fragmento conminuto</w:t>
      </w:r>
      <w:r w:rsidR="00777853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proofErr w:type="gramStart"/>
      <w:r w:rsidR="00777853">
        <w:rPr>
          <w:rFonts w:ascii="Times New Roman" w:hAnsi="Times New Roman" w:cs="Times New Roman"/>
          <w:sz w:val="24"/>
          <w:szCs w:val="24"/>
          <w:lang w:val="es-CO"/>
        </w:rPr>
        <w:t>segmento ósea</w:t>
      </w:r>
      <w:proofErr w:type="gramEnd"/>
      <w:r w:rsidR="00777853">
        <w:rPr>
          <w:rFonts w:ascii="Times New Roman" w:hAnsi="Times New Roman" w:cs="Times New Roman"/>
          <w:sz w:val="24"/>
          <w:szCs w:val="24"/>
          <w:lang w:val="es-CO"/>
        </w:rPr>
        <w:t xml:space="preserve"> que salió de la fractura del macrosegmento óseo)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se deberá calcular la distancia mínima borde a borde, expresada en milímetros, respecto al fragmento principal del mismo hueso. La medición deberá utilizar el espaciado físico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header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NIfTI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y una transformada de distancia mediante </w:t>
      </w:r>
      <w:proofErr w:type="spellStart"/>
      <w:proofErr w:type="gramStart"/>
      <w:r w:rsidRPr="00777853">
        <w:rPr>
          <w:rFonts w:ascii="Times New Roman" w:hAnsi="Times New Roman" w:cs="Times New Roman"/>
          <w:sz w:val="24"/>
          <w:szCs w:val="24"/>
          <w:lang w:val="es-CO"/>
        </w:rPr>
        <w:t>scipy.ndimage</w:t>
      </w:r>
      <w:proofErr w:type="gramEnd"/>
      <w:r w:rsidRPr="00777853">
        <w:rPr>
          <w:rFonts w:ascii="Times New Roman" w:hAnsi="Times New Roman" w:cs="Times New Roman"/>
          <w:sz w:val="24"/>
          <w:szCs w:val="24"/>
          <w:lang w:val="es-CO"/>
        </w:rPr>
        <w:t>.distance_transform_edt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sobre las máscaras segmentadas.</w:t>
      </w:r>
    </w:p>
    <w:p w14:paraId="16A353CE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Como parte del análisis del desempeño, también deberá calcularse la misma distancia sobre la máscara de referencia (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ground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truth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) correspondiente al mismo caso. Esta comparación permitirá identificar cuánto error puede transferirse desde la calidad de la segmentación hacia la medida de separación.</w:t>
      </w:r>
    </w:p>
    <w:p w14:paraId="12D2C574" w14:textId="77777777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</w:rPr>
      </w:pPr>
      <w:r w:rsidRPr="00777853">
        <w:rPr>
          <w:rFonts w:ascii="Times New Roman" w:hAnsi="Times New Roman" w:cs="Times New Roman"/>
          <w:sz w:val="24"/>
          <w:szCs w:val="24"/>
        </w:rPr>
        <w:t xml:space="preserve">3.4 Dashboard y </w:t>
      </w:r>
      <w:proofErr w:type="spellStart"/>
      <w:r w:rsidRPr="00777853">
        <w:rPr>
          <w:rFonts w:ascii="Times New Roman" w:hAnsi="Times New Roman" w:cs="Times New Roman"/>
          <w:sz w:val="24"/>
          <w:szCs w:val="24"/>
        </w:rPr>
        <w:t>visualizadores</w:t>
      </w:r>
      <w:proofErr w:type="spellEnd"/>
      <w:r w:rsidRPr="007778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</w:rPr>
        <w:t>obligatorios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163DA" w:rsidRPr="00777853" w14:paraId="4AB512CA" w14:textId="77777777">
        <w:trPr>
          <w:jc w:val="center"/>
        </w:trPr>
        <w:tc>
          <w:tcPr>
            <w:tcW w:w="3041" w:type="dxa"/>
            <w:shd w:val="clear" w:color="auto" w:fill="D9E2F3"/>
          </w:tcPr>
          <w:p w14:paraId="3AEDAEC9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Visualizador</w:t>
            </w:r>
          </w:p>
        </w:tc>
        <w:tc>
          <w:tcPr>
            <w:tcW w:w="3041" w:type="dxa"/>
            <w:shd w:val="clear" w:color="auto" w:fill="D9E2F3"/>
          </w:tcPr>
          <w:p w14:paraId="4B571EF9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Contenido obligatorio</w:t>
            </w:r>
          </w:p>
        </w:tc>
        <w:tc>
          <w:tcPr>
            <w:tcW w:w="3041" w:type="dxa"/>
            <w:shd w:val="clear" w:color="auto" w:fill="D9E2F3"/>
          </w:tcPr>
          <w:p w14:paraId="684C1B02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</w:tr>
      <w:tr w:rsidR="00C163DA" w:rsidRPr="0004140B" w14:paraId="18863AFD" w14:textId="77777777">
        <w:trPr>
          <w:jc w:val="center"/>
        </w:trPr>
        <w:tc>
          <w:tcPr>
            <w:tcW w:w="3041" w:type="dxa"/>
            <w:vAlign w:val="center"/>
          </w:tcPr>
          <w:p w14:paraId="1F9E9AEA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1. Volumen crudo (raw)</w:t>
            </w:r>
          </w:p>
        </w:tc>
        <w:tc>
          <w:tcPr>
            <w:tcW w:w="3041" w:type="dxa"/>
            <w:vAlign w:val="center"/>
          </w:tcPr>
          <w:p w14:paraId="22A9BA15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Reconstrucción 3D inicial del volumen original mediante una vista de proyección de máxima intensidad (MIP), mostrando únicamente el hueso.</w:t>
            </w:r>
          </w:p>
        </w:tc>
        <w:tc>
          <w:tcPr>
            <w:tcW w:w="3041" w:type="dxa"/>
            <w:vAlign w:val="center"/>
          </w:tcPr>
          <w:p w14:paraId="64547E82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Umbral de intensidad en unidades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Hounsfield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sobre el volumen sin procesar. No interviene el modelo; corresponde a un paso de preprocesamiento clásico.</w:t>
            </w:r>
          </w:p>
        </w:tc>
      </w:tr>
      <w:tr w:rsidR="00C163DA" w:rsidRPr="0004140B" w14:paraId="24FD81A4" w14:textId="77777777">
        <w:trPr>
          <w:jc w:val="center"/>
        </w:trPr>
        <w:tc>
          <w:tcPr>
            <w:tcW w:w="3041" w:type="dxa"/>
            <w:vAlign w:val="center"/>
          </w:tcPr>
          <w:p w14:paraId="7091B5C1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2. Inferencia corte por corte</w:t>
            </w:r>
          </w:p>
        </w:tc>
        <w:tc>
          <w:tcPr>
            <w:tcW w:w="3041" w:type="dxa"/>
            <w:vAlign w:val="center"/>
          </w:tcPr>
          <w:p w14:paraId="20F68FA5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Detección, segmentación y clasificación del modelo, con un control que permita recorrer los cortes del volumen mediante </w:t>
            </w:r>
            <w:proofErr w:type="gram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un slider</w:t>
            </w:r>
            <w:proofErr w:type="gram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</w:t>
            </w:r>
          </w:p>
        </w:tc>
        <w:tc>
          <w:tcPr>
            <w:tcW w:w="3041" w:type="dxa"/>
            <w:vAlign w:val="center"/>
          </w:tcPr>
          <w:p w14:paraId="2DF18163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Overlay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2D de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bounding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boxes y máscaras coloreadas sobre cada corte, generado por el pipeline entrenado.</w:t>
            </w:r>
          </w:p>
        </w:tc>
      </w:tr>
      <w:tr w:rsidR="00C163DA" w:rsidRPr="0004140B" w14:paraId="4C1DCAF9" w14:textId="77777777">
        <w:trPr>
          <w:jc w:val="center"/>
        </w:trPr>
        <w:tc>
          <w:tcPr>
            <w:tcW w:w="3041" w:type="dxa"/>
            <w:vAlign w:val="center"/>
          </w:tcPr>
          <w:p w14:paraId="2C633FC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3. Reconstrucción 3D final</w:t>
            </w:r>
          </w:p>
        </w:tc>
        <w:tc>
          <w:tcPr>
            <w:tcW w:w="3041" w:type="dxa"/>
            <w:vAlign w:val="center"/>
          </w:tcPr>
          <w:p w14:paraId="76928EE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Reconstrucción tridimensional del hueso con los fragmentos coloreados según el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macro-hueso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al que fueron asignados, incluyendo la distancia de separación visible junto a la etiqueta de cada fragmento.</w:t>
            </w:r>
          </w:p>
        </w:tc>
        <w:tc>
          <w:tcPr>
            <w:tcW w:w="3041" w:type="dxa"/>
            <w:vAlign w:val="center"/>
          </w:tcPr>
          <w:p w14:paraId="6F813D69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Apilamiento de máscaras predichas +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marching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cubes (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skimage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 + malla interactiva (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Plotly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Mesh3d).</w:t>
            </w:r>
          </w:p>
        </w:tc>
      </w:tr>
    </w:tbl>
    <w:p w14:paraId="2E00869A" w14:textId="77777777" w:rsidR="00C163DA" w:rsidRPr="00777853" w:rsidRDefault="00C163DA" w:rsidP="00777853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5389B1C" w14:textId="77777777" w:rsidR="00C163DA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La distancia de separación de cada fragmento deberá ser visible directamente en los visualizadores 2 y 3. No será suficiente presentarla únicamente en una tabla, dado que constituye una parte esencial del resultado que debe interpretarse de manera rápida.</w:t>
      </w:r>
    </w:p>
    <w:p w14:paraId="6C1105F4" w14:textId="77777777" w:rsidR="00777853" w:rsidRDefault="00777853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32B37F4C" w14:textId="77777777" w:rsidR="0004140B" w:rsidRDefault="0004140B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1E7E468A" w14:textId="77777777" w:rsidR="0004140B" w:rsidRPr="00777853" w:rsidRDefault="0004140B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7A360DB" w14:textId="77777777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</w:rPr>
      </w:pPr>
      <w:r w:rsidRPr="00777853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777853">
        <w:rPr>
          <w:rFonts w:ascii="Times New Roman" w:hAnsi="Times New Roman" w:cs="Times New Roman"/>
          <w:b/>
          <w:bCs/>
          <w:sz w:val="24"/>
          <w:szCs w:val="24"/>
        </w:rPr>
        <w:t>Arquitectura técnica requerida</w:t>
      </w:r>
    </w:p>
    <w:p w14:paraId="61C789AC" w14:textId="77777777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</w:rPr>
      </w:pPr>
      <w:r w:rsidRPr="00777853">
        <w:rPr>
          <w:rFonts w:ascii="Times New Roman" w:hAnsi="Times New Roman" w:cs="Times New Roman"/>
          <w:sz w:val="24"/>
          <w:szCs w:val="24"/>
        </w:rPr>
        <w:t xml:space="preserve">4.1 </w:t>
      </w:r>
      <w:r w:rsidRPr="00777853">
        <w:rPr>
          <w:rFonts w:ascii="Times New Roman" w:hAnsi="Times New Roman" w:cs="Times New Roman"/>
          <w:b/>
          <w:bCs/>
          <w:sz w:val="24"/>
          <w:szCs w:val="24"/>
        </w:rPr>
        <w:t>Diseño obligatorio</w:t>
      </w:r>
    </w:p>
    <w:p w14:paraId="3EF97CB4" w14:textId="0D142E44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u w:val="single"/>
          <w:lang w:val="es-CO"/>
        </w:rPr>
        <w:t>Backbone compartido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: se deberá utilizar una extensión propia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backbone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del curso (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FundidoraPC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) o una arquitectura equivalente diseñada por el equipo. Se permite transfer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learning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únicamente en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backbone</w:t>
      </w:r>
      <w:proofErr w:type="spellEnd"/>
      <w:r w:rsidR="00777853">
        <w:rPr>
          <w:rFonts w:ascii="Times New Roman" w:hAnsi="Times New Roman" w:cs="Times New Roman"/>
          <w:sz w:val="24"/>
          <w:szCs w:val="24"/>
          <w:lang w:val="es-CO"/>
        </w:rPr>
        <w:t xml:space="preserve"> (entrenamiento de la fundidora de </w:t>
      </w:r>
      <w:proofErr w:type="gramStart"/>
      <w:r w:rsidR="00777853">
        <w:rPr>
          <w:rFonts w:ascii="Times New Roman" w:hAnsi="Times New Roman" w:cs="Times New Roman"/>
          <w:sz w:val="24"/>
          <w:szCs w:val="24"/>
          <w:lang w:val="es-CO"/>
        </w:rPr>
        <w:t>pc  en</w:t>
      </w:r>
      <w:proofErr w:type="gramEnd"/>
      <w:r w:rsid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="00777853">
        <w:rPr>
          <w:rFonts w:ascii="Times New Roman" w:hAnsi="Times New Roman" w:cs="Times New Roman"/>
          <w:sz w:val="24"/>
          <w:szCs w:val="24"/>
          <w:lang w:val="es-CO"/>
        </w:rPr>
        <w:t xml:space="preserve"> previamente usados, esto si almacenaron los pesos)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, utilizando pesos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preentrenados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en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ImageNet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u otro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natural; las cabezas </w:t>
      </w: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deberán entrenarse desde cero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0431CA7A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u w:val="single"/>
          <w:lang w:val="es-CO"/>
        </w:rPr>
        <w:t>Bloque de atención CBAM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: deberá incorporarse atención de canal y espacial en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backbone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, antes de la bifurcación hacia las tres cabezas.</w:t>
      </w:r>
    </w:p>
    <w:p w14:paraId="05316FEF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u w:val="single"/>
          <w:lang w:val="es-CO"/>
        </w:rPr>
        <w:t xml:space="preserve">Tres cabezas sobre un mismo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u w:val="single"/>
          <w:lang w:val="es-CO"/>
        </w:rPr>
        <w:t>backbone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: clasificación de la categoría anatómica, detección de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bounding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boxes por región mediante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grid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propio y NMS propio, y segmentación de instancia de los fragmentos con coloración según pertenencia anatómica.</w:t>
      </w:r>
    </w:p>
    <w:p w14:paraId="549FCD7C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u w:val="single"/>
          <w:lang w:val="es-CO"/>
        </w:rPr>
        <w:t>Función de pérdida compuesta multitarea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>: los pesos (</w:t>
      </w:r>
      <w:r w:rsidRPr="00777853">
        <w:rPr>
          <w:rFonts w:ascii="Times New Roman" w:hAnsi="Times New Roman" w:cs="Times New Roman"/>
          <w:sz w:val="24"/>
          <w:szCs w:val="24"/>
        </w:rPr>
        <w:t>λ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>) de cada término deberán ser calibrados y justificados explícitamente en el informe. No se aceptarán valores copiados de otras implementaciones sin una argumentación relacionada con el proyecto.</w:t>
      </w:r>
    </w:p>
    <w:p w14:paraId="119AE797" w14:textId="77777777" w:rsidR="00C163DA" w:rsidRPr="00777853" w:rsidRDefault="00000000" w:rsidP="0077785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b/>
          <w:bCs/>
          <w:sz w:val="24"/>
          <w:szCs w:val="24"/>
          <w:lang w:val="es-CO"/>
        </w:rPr>
        <w:t>Restricciones de implementación.</w:t>
      </w:r>
    </w:p>
    <w:p w14:paraId="7EB341A7" w14:textId="77777777" w:rsidR="00C163DA" w:rsidRPr="00777853" w:rsidRDefault="00000000" w:rsidP="00777853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es-CO"/>
        </w:rPr>
      </w:pPr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 xml:space="preserve">Está explícitamente prohibido utilizar YOLO, en cualquiera de sus versiones, Detectron2, Mask R-CNN </w:t>
      </w:r>
      <w:proofErr w:type="spellStart"/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>preentrenado</w:t>
      </w:r>
      <w:proofErr w:type="spellEnd"/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 xml:space="preserve"> o cualquier </w:t>
      </w:r>
      <w:proofErr w:type="spellStart"/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>framework</w:t>
      </w:r>
      <w:proofErr w:type="spellEnd"/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 xml:space="preserve"> de detección o segmentación de alto nivel como arquitectura entregada. Las publicaciones asociadas a estas herramientas sí pueden consultarse para comprender principios como </w:t>
      </w:r>
      <w:proofErr w:type="spellStart"/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>grid</w:t>
      </w:r>
      <w:proofErr w:type="spellEnd"/>
      <w:r w:rsidRPr="00777853">
        <w:rPr>
          <w:rFonts w:ascii="Times New Roman" w:hAnsi="Times New Roman" w:cs="Times New Roman"/>
          <w:i/>
          <w:iCs/>
          <w:sz w:val="24"/>
          <w:szCs w:val="24"/>
          <w:highlight w:val="yellow"/>
          <w:u w:val="single"/>
          <w:lang w:val="es-CO"/>
        </w:rPr>
        <w:t>, NMS o anchor-free, siempre que la implementación final sea propia y esta decisión quede declarada en el informe</w:t>
      </w:r>
      <w:r w:rsidRPr="00777853">
        <w:rPr>
          <w:rFonts w:ascii="Times New Roman" w:hAnsi="Times New Roman" w:cs="Times New Roman"/>
          <w:i/>
          <w:iCs/>
          <w:sz w:val="24"/>
          <w:szCs w:val="24"/>
          <w:u w:val="single"/>
          <w:lang w:val="es-CO"/>
        </w:rPr>
        <w:t>.</w:t>
      </w:r>
    </w:p>
    <w:p w14:paraId="3DEA8D8B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4.2 </w:t>
      </w:r>
      <w:r w:rsidRPr="00B05E50">
        <w:rPr>
          <w:rFonts w:ascii="Times New Roman" w:hAnsi="Times New Roman" w:cs="Times New Roman"/>
          <w:b/>
          <w:bCs/>
          <w:sz w:val="24"/>
          <w:szCs w:val="24"/>
          <w:u w:val="single"/>
          <w:lang w:val="es-CO"/>
        </w:rPr>
        <w:t>Uso de SAM</w:t>
      </w:r>
    </w:p>
    <w:p w14:paraId="6A44DA4C" w14:textId="77777777" w:rsidR="00C163DA" w:rsidRPr="00777853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>SAM deberá utilizarse exclusivamente como referencia de comparación (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baseline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zero-shot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). No podrá formar parte del pipeline final ni utilizarse para generar las etiquetas, dado que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dataset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ya proporciona máscaras validadas por expertos. Cada equipo deberá ejecutar SAM utilizando como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prompt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bounding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box predicho sobre el conjunto de prueba y reportar Dice e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IoU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frente al modelo propio. La comparación deberá utilizarse como evidencia experimental para analizar el comportamiento de un modelo generalista fuera de dominio frente a un modelo entrenado específicamente para la tarea.</w:t>
      </w:r>
    </w:p>
    <w:p w14:paraId="6E77766A" w14:textId="77777777" w:rsidR="00C163DA" w:rsidRPr="00B05E50" w:rsidRDefault="00000000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4.3 </w:t>
      </w:r>
      <w:r w:rsidRPr="00B05E50">
        <w:rPr>
          <w:rFonts w:ascii="Times New Roman" w:hAnsi="Times New Roman" w:cs="Times New Roman"/>
          <w:b/>
          <w:bCs/>
          <w:sz w:val="24"/>
          <w:szCs w:val="24"/>
          <w:u w:val="single"/>
          <w:lang w:val="es-CO"/>
        </w:rPr>
        <w:t>Restricciones de cómputo</w:t>
      </w:r>
    </w:p>
    <w:p w14:paraId="34446D13" w14:textId="77777777" w:rsidR="00C163DA" w:rsidRPr="00B05E50" w:rsidRDefault="00000000" w:rsidP="00B05E50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Se recomienda trabajar con una resolución de 224–256 píxeles por corte y un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batch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de 8–16.</w:t>
      </w:r>
    </w:p>
    <w:p w14:paraId="401943A6" w14:textId="77777777" w:rsidR="00C163DA" w:rsidRPr="00B05E50" w:rsidRDefault="00000000" w:rsidP="00B05E50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Deberá utilizarse precisión mixta mediante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torch.cuda.amp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244517AA" w14:textId="77777777" w:rsidR="00C163DA" w:rsidRPr="00B05E50" w:rsidRDefault="00000000" w:rsidP="00B05E50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>El pipeline de inferencia deberá poder ejecutarse tanto en GPU como en CPU.</w:t>
      </w:r>
    </w:p>
    <w:p w14:paraId="09A99EDE" w14:textId="77777777" w:rsidR="00C163DA" w:rsidRPr="00B05E50" w:rsidRDefault="00000000" w:rsidP="00B05E50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>Cada equipo deberá medir y reportar la latencia por imagen en ambos escenarios.</w:t>
      </w:r>
    </w:p>
    <w:p w14:paraId="77C584E1" w14:textId="77777777" w:rsidR="00777853" w:rsidRPr="00777853" w:rsidRDefault="00777853" w:rsidP="00777853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B405069" w14:textId="77777777" w:rsidR="00C163DA" w:rsidRPr="00777853" w:rsidRDefault="00000000" w:rsidP="0077785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5. </w:t>
      </w:r>
      <w:r w:rsidRPr="00B05E50">
        <w:rPr>
          <w:rFonts w:ascii="Times New Roman" w:hAnsi="Times New Roman" w:cs="Times New Roman"/>
          <w:b/>
          <w:bCs/>
          <w:sz w:val="24"/>
          <w:szCs w:val="24"/>
          <w:lang w:val="es-CO"/>
        </w:rPr>
        <w:t>Métricas y objetivos de desempeño</w:t>
      </w:r>
    </w:p>
    <w:p w14:paraId="7D59BAF6" w14:textId="73F5C711" w:rsidR="00C163DA" w:rsidRPr="00777853" w:rsidRDefault="00000000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challenge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PENGWIN utiliza métricas como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IoU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fragmentwise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, HD95 y ASSD, en lugar de depender exclusivamente de métricas de detección como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mAP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estilo COCO. Sus mejores resultados provienen de arquitecturas 3D especializadas y de procesos de ajuste considerablemente más extensos. Por ello, los objetivos establecidos para este proyecto corresponden a un reto académico de cuatro semanas con una arquitectura propia 2D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 xml:space="preserve"> (corte a corte, manteniendo el fundamento del análisis 3D sobre el volumen CT)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y se sitúan deliberadamente por debajo del techo de desempeño del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challenge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163DA" w:rsidRPr="00777853" w14:paraId="02487868" w14:textId="77777777">
        <w:trPr>
          <w:jc w:val="center"/>
        </w:trPr>
        <w:tc>
          <w:tcPr>
            <w:tcW w:w="3041" w:type="dxa"/>
            <w:shd w:val="clear" w:color="auto" w:fill="D9E2F3"/>
          </w:tcPr>
          <w:p w14:paraId="76666201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3041" w:type="dxa"/>
            <w:shd w:val="clear" w:color="auto" w:fill="D9E2F3"/>
          </w:tcPr>
          <w:p w14:paraId="50CABD45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Métrica</w:t>
            </w:r>
          </w:p>
        </w:tc>
        <w:tc>
          <w:tcPr>
            <w:tcW w:w="3041" w:type="dxa"/>
            <w:shd w:val="clear" w:color="auto" w:fill="D9E2F3"/>
          </w:tcPr>
          <w:p w14:paraId="0CCBD21E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Objetivo sugerido</w:t>
            </w:r>
          </w:p>
        </w:tc>
      </w:tr>
      <w:tr w:rsidR="00C163DA" w:rsidRPr="00777853" w14:paraId="07B25AF7" w14:textId="77777777">
        <w:trPr>
          <w:jc w:val="center"/>
        </w:trPr>
        <w:tc>
          <w:tcPr>
            <w:tcW w:w="3041" w:type="dxa"/>
            <w:vAlign w:val="center"/>
          </w:tcPr>
          <w:p w14:paraId="313FE76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Clasificación (categoría anatómica)</w:t>
            </w:r>
          </w:p>
        </w:tc>
        <w:tc>
          <w:tcPr>
            <w:tcW w:w="3041" w:type="dxa"/>
            <w:vAlign w:val="center"/>
          </w:tcPr>
          <w:p w14:paraId="7B9D280B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3041" w:type="dxa"/>
            <w:vAlign w:val="center"/>
          </w:tcPr>
          <w:p w14:paraId="571625BB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0.85</w:t>
            </w:r>
          </w:p>
        </w:tc>
      </w:tr>
      <w:tr w:rsidR="00C163DA" w:rsidRPr="00777853" w14:paraId="389A5488" w14:textId="77777777">
        <w:trPr>
          <w:jc w:val="center"/>
        </w:trPr>
        <w:tc>
          <w:tcPr>
            <w:tcW w:w="3041" w:type="dxa"/>
            <w:vAlign w:val="center"/>
          </w:tcPr>
          <w:p w14:paraId="60587C03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Clasificación (categoría anatómica)</w:t>
            </w:r>
          </w:p>
        </w:tc>
        <w:tc>
          <w:tcPr>
            <w:tcW w:w="3041" w:type="dxa"/>
            <w:vAlign w:val="center"/>
          </w:tcPr>
          <w:p w14:paraId="3D9A677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AUC</w:t>
            </w:r>
          </w:p>
        </w:tc>
        <w:tc>
          <w:tcPr>
            <w:tcW w:w="3041" w:type="dxa"/>
            <w:vAlign w:val="center"/>
          </w:tcPr>
          <w:p w14:paraId="67801B0B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0.85</w:t>
            </w:r>
          </w:p>
        </w:tc>
      </w:tr>
      <w:tr w:rsidR="00C163DA" w:rsidRPr="00777853" w14:paraId="3986B574" w14:textId="77777777">
        <w:trPr>
          <w:jc w:val="center"/>
        </w:trPr>
        <w:tc>
          <w:tcPr>
            <w:tcW w:w="3041" w:type="dxa"/>
            <w:vAlign w:val="center"/>
          </w:tcPr>
          <w:p w14:paraId="13A9AF9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Detección (bbox por región)</w:t>
            </w:r>
          </w:p>
        </w:tc>
        <w:tc>
          <w:tcPr>
            <w:tcW w:w="3041" w:type="dxa"/>
            <w:vAlign w:val="center"/>
          </w:tcPr>
          <w:p w14:paraId="6FC1E096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IoU promedio</w:t>
            </w:r>
          </w:p>
        </w:tc>
        <w:tc>
          <w:tcPr>
            <w:tcW w:w="3041" w:type="dxa"/>
            <w:vAlign w:val="center"/>
          </w:tcPr>
          <w:p w14:paraId="7BD1C530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0.65</w:t>
            </w:r>
          </w:p>
        </w:tc>
      </w:tr>
      <w:tr w:rsidR="00C163DA" w:rsidRPr="00777853" w14:paraId="4AE73197" w14:textId="77777777">
        <w:trPr>
          <w:jc w:val="center"/>
        </w:trPr>
        <w:tc>
          <w:tcPr>
            <w:tcW w:w="3041" w:type="dxa"/>
            <w:vAlign w:val="center"/>
          </w:tcPr>
          <w:p w14:paraId="7FEBF615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Detección (bbox por región)</w:t>
            </w:r>
          </w:p>
        </w:tc>
        <w:tc>
          <w:tcPr>
            <w:tcW w:w="3041" w:type="dxa"/>
            <w:vAlign w:val="center"/>
          </w:tcPr>
          <w:p w14:paraId="1A4C86C2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mAP@0.50</w:t>
            </w:r>
          </w:p>
        </w:tc>
        <w:tc>
          <w:tcPr>
            <w:tcW w:w="3041" w:type="dxa"/>
            <w:vAlign w:val="center"/>
          </w:tcPr>
          <w:p w14:paraId="04DA6F29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0.65</w:t>
            </w:r>
          </w:p>
        </w:tc>
      </w:tr>
      <w:tr w:rsidR="00C163DA" w:rsidRPr="00777853" w14:paraId="7307C3E1" w14:textId="77777777">
        <w:trPr>
          <w:jc w:val="center"/>
        </w:trPr>
        <w:tc>
          <w:tcPr>
            <w:tcW w:w="3041" w:type="dxa"/>
            <w:vAlign w:val="center"/>
          </w:tcPr>
          <w:p w14:paraId="22664274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Detección (bbox por región)</w:t>
            </w:r>
          </w:p>
        </w:tc>
        <w:tc>
          <w:tcPr>
            <w:tcW w:w="3041" w:type="dxa"/>
            <w:vAlign w:val="center"/>
          </w:tcPr>
          <w:p w14:paraId="48101263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mAP</w:t>
            </w:r>
            <w:proofErr w:type="gramStart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@[</w:t>
            </w:r>
            <w:proofErr w:type="gramEnd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0.50:0.95]</w:t>
            </w:r>
          </w:p>
        </w:tc>
        <w:tc>
          <w:tcPr>
            <w:tcW w:w="3041" w:type="dxa"/>
            <w:vAlign w:val="center"/>
          </w:tcPr>
          <w:p w14:paraId="2B9E4D49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0.40</w:t>
            </w:r>
          </w:p>
        </w:tc>
      </w:tr>
      <w:tr w:rsidR="00C163DA" w:rsidRPr="00777853" w14:paraId="7F711E47" w14:textId="77777777">
        <w:trPr>
          <w:jc w:val="center"/>
        </w:trPr>
        <w:tc>
          <w:tcPr>
            <w:tcW w:w="3041" w:type="dxa"/>
            <w:vAlign w:val="center"/>
          </w:tcPr>
          <w:p w14:paraId="0BF29131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Segmentación de fragmento</w:t>
            </w:r>
          </w:p>
        </w:tc>
        <w:tc>
          <w:tcPr>
            <w:tcW w:w="3041" w:type="dxa"/>
            <w:vAlign w:val="center"/>
          </w:tcPr>
          <w:p w14:paraId="73B8C16A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Dice</w:t>
            </w:r>
          </w:p>
        </w:tc>
        <w:tc>
          <w:tcPr>
            <w:tcW w:w="3041" w:type="dxa"/>
            <w:vAlign w:val="center"/>
          </w:tcPr>
          <w:p w14:paraId="11E0FDB1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0.85</w:t>
            </w:r>
          </w:p>
        </w:tc>
      </w:tr>
      <w:tr w:rsidR="00C163DA" w:rsidRPr="00777853" w14:paraId="63EA1DCD" w14:textId="77777777">
        <w:trPr>
          <w:jc w:val="center"/>
        </w:trPr>
        <w:tc>
          <w:tcPr>
            <w:tcW w:w="3041" w:type="dxa"/>
            <w:vAlign w:val="center"/>
          </w:tcPr>
          <w:p w14:paraId="31A385BA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Segmentación de fragmento</w:t>
            </w:r>
          </w:p>
        </w:tc>
        <w:tc>
          <w:tcPr>
            <w:tcW w:w="3041" w:type="dxa"/>
            <w:vAlign w:val="center"/>
          </w:tcPr>
          <w:p w14:paraId="694DF4D4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IoU</w:t>
            </w:r>
          </w:p>
        </w:tc>
        <w:tc>
          <w:tcPr>
            <w:tcW w:w="3041" w:type="dxa"/>
            <w:vAlign w:val="center"/>
          </w:tcPr>
          <w:p w14:paraId="6EB6550F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≥ 0.70</w:t>
            </w:r>
          </w:p>
        </w:tc>
      </w:tr>
    </w:tbl>
    <w:p w14:paraId="27863D55" w14:textId="77777777" w:rsidR="00C163DA" w:rsidRPr="00777853" w:rsidRDefault="00C163DA" w:rsidP="00777853">
      <w:pPr>
        <w:rPr>
          <w:rFonts w:ascii="Times New Roman" w:hAnsi="Times New Roman" w:cs="Times New Roman"/>
          <w:sz w:val="24"/>
          <w:szCs w:val="24"/>
        </w:rPr>
      </w:pPr>
    </w:p>
    <w:p w14:paraId="61D9D90C" w14:textId="5242FC1C" w:rsidR="00C163DA" w:rsidRDefault="00000000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u w:val="single"/>
          <w:lang w:val="es-CO"/>
        </w:rPr>
        <w:t>Extensión opcional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>:</w:t>
      </w:r>
      <w:r w:rsidRPr="00777853">
        <w:rPr>
          <w:rFonts w:ascii="Times New Roman" w:hAnsi="Times New Roman" w:cs="Times New Roman"/>
          <w:sz w:val="24"/>
          <w:szCs w:val="24"/>
          <w:lang w:val="es-CO"/>
        </w:rPr>
        <w:t xml:space="preserve"> Los equipos que deseen profundizar podrán reportar HD95 (distancia de Hausdorff al percentil 95) y ASSD (distancia de superficie simétrica promedio) por fragmento, replicando las métricas utilizadas en el </w:t>
      </w:r>
      <w:proofErr w:type="spellStart"/>
      <w:r w:rsidRPr="00777853">
        <w:rPr>
          <w:rFonts w:ascii="Times New Roman" w:hAnsi="Times New Roman" w:cs="Times New Roman"/>
          <w:sz w:val="24"/>
          <w:szCs w:val="24"/>
          <w:lang w:val="es-CO"/>
        </w:rPr>
        <w:t>challenge</w:t>
      </w:r>
      <w:proofErr w:type="spellEnd"/>
      <w:r w:rsidRPr="00777853">
        <w:rPr>
          <w:rFonts w:ascii="Times New Roman" w:hAnsi="Times New Roman" w:cs="Times New Roman"/>
          <w:sz w:val="24"/>
          <w:szCs w:val="24"/>
          <w:lang w:val="es-CO"/>
        </w:rPr>
        <w:t>. Estas métricas son valiosas para el análisis, pero no hacen parte del requisito mínimo.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 xml:space="preserve"> (pueden otorgar puntos extras)</w:t>
      </w:r>
    </w:p>
    <w:p w14:paraId="54402E82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1F55BF5D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54262929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1C09466A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A7A5745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16A3F05F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56BE0C25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0A61B2A0" w14:textId="77777777" w:rsidR="0004140B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7D4C4BBC" w14:textId="77777777" w:rsidR="0004140B" w:rsidRPr="00777853" w:rsidRDefault="0004140B" w:rsidP="00B05E50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7D688037" w14:textId="1220B922" w:rsidR="00C163DA" w:rsidRPr="00B05E50" w:rsidRDefault="00000000" w:rsidP="0077785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6. </w:t>
      </w:r>
      <w:r w:rsidRPr="00B05E50">
        <w:rPr>
          <w:rFonts w:ascii="Times New Roman" w:hAnsi="Times New Roman" w:cs="Times New Roman"/>
          <w:b/>
          <w:bCs/>
          <w:sz w:val="24"/>
          <w:szCs w:val="24"/>
          <w:lang w:val="es-CO"/>
        </w:rPr>
        <w:t>Cronograma de trabajo</w:t>
      </w:r>
      <w:r w:rsidR="00B05E50" w:rsidRPr="00B05E50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para evaluación de avances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C163DA" w:rsidRPr="00777853" w14:paraId="357C590E" w14:textId="77777777">
        <w:trPr>
          <w:jc w:val="center"/>
        </w:trPr>
        <w:tc>
          <w:tcPr>
            <w:tcW w:w="4561" w:type="dxa"/>
            <w:shd w:val="clear" w:color="auto" w:fill="D9E2F3"/>
          </w:tcPr>
          <w:p w14:paraId="2D0BBC89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Semana</w:t>
            </w:r>
          </w:p>
        </w:tc>
        <w:tc>
          <w:tcPr>
            <w:tcW w:w="4561" w:type="dxa"/>
            <w:shd w:val="clear" w:color="auto" w:fill="D9E2F3"/>
          </w:tcPr>
          <w:p w14:paraId="364CA5AB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Entregable verificable</w:t>
            </w:r>
          </w:p>
        </w:tc>
      </w:tr>
      <w:tr w:rsidR="00C163DA" w:rsidRPr="0004140B" w14:paraId="31AEA218" w14:textId="77777777">
        <w:trPr>
          <w:jc w:val="center"/>
        </w:trPr>
        <w:tc>
          <w:tcPr>
            <w:tcW w:w="4561" w:type="dxa"/>
            <w:vAlign w:val="center"/>
          </w:tcPr>
          <w:p w14:paraId="7E712FF2" w14:textId="7FBB1A4E" w:rsidR="00C163DA" w:rsidRPr="00777853" w:rsidRDefault="00B05E5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1" w:type="dxa"/>
            <w:vAlign w:val="center"/>
          </w:tcPr>
          <w:p w14:paraId="57494A27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Dataset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curado con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splits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fijos; pipeline de carga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NIfTI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y ventaneo HU funcionando; análisis exploratorio (EDA) de fragmentos por caso; visualizador 1 (MIP raw) implementado y operativo.</w:t>
            </w:r>
          </w:p>
        </w:tc>
      </w:tr>
      <w:tr w:rsidR="00C163DA" w:rsidRPr="0004140B" w14:paraId="33E895C3" w14:textId="77777777">
        <w:trPr>
          <w:jc w:val="center"/>
        </w:trPr>
        <w:tc>
          <w:tcPr>
            <w:tcW w:w="4561" w:type="dxa"/>
            <w:vAlign w:val="center"/>
          </w:tcPr>
          <w:p w14:paraId="138D4A17" w14:textId="6F4D1A23" w:rsidR="00C163DA" w:rsidRPr="00777853" w:rsidRDefault="00B05E5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1" w:type="dxa"/>
            <w:vAlign w:val="center"/>
          </w:tcPr>
          <w:p w14:paraId="2E5FFFE4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Backbone, CBAM y cabeza de detección implementados;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overfit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intencional sobre un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batch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pequeño como prueba de correctitud; primeras predicciones de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bounding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boxes visualmente razonables.</w:t>
            </w:r>
          </w:p>
        </w:tc>
      </w:tr>
      <w:tr w:rsidR="00C163DA" w:rsidRPr="0004140B" w14:paraId="3E6839A1" w14:textId="77777777">
        <w:trPr>
          <w:jc w:val="center"/>
        </w:trPr>
        <w:tc>
          <w:tcPr>
            <w:tcW w:w="4561" w:type="dxa"/>
            <w:vAlign w:val="center"/>
          </w:tcPr>
          <w:p w14:paraId="7CC61BB3" w14:textId="3E1DA8E7" w:rsidR="00C163DA" w:rsidRPr="00777853" w:rsidRDefault="00B05E5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1" w:type="dxa"/>
            <w:vAlign w:val="center"/>
          </w:tcPr>
          <w:p w14:paraId="57219544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Pipeline completo: detección → NMS → segmentación de instancia → clasificación por pertenencia. Entrenamiento completo, medición de distancia de separación, comparación contra SAM y cálculo de las métricas definidas en la sección 5.</w:t>
            </w:r>
          </w:p>
        </w:tc>
      </w:tr>
      <w:tr w:rsidR="00C163DA" w:rsidRPr="0004140B" w14:paraId="43D6936F" w14:textId="77777777">
        <w:trPr>
          <w:jc w:val="center"/>
        </w:trPr>
        <w:tc>
          <w:tcPr>
            <w:tcW w:w="4561" w:type="dxa"/>
            <w:vAlign w:val="center"/>
          </w:tcPr>
          <w:p w14:paraId="3F77ACDB" w14:textId="2B196566" w:rsidR="00C163DA" w:rsidRPr="00777853" w:rsidRDefault="00B05E50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 (Entrega)</w:t>
            </w:r>
          </w:p>
        </w:tc>
        <w:tc>
          <w:tcPr>
            <w:tcW w:w="4561" w:type="dxa"/>
            <w:vAlign w:val="center"/>
          </w:tcPr>
          <w:p w14:paraId="6D2F1F74" w14:textId="77777777" w:rsidR="00C163DA" w:rsidRPr="00777853" w:rsidRDefault="00000000" w:rsidP="0077785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Visualizadores 2 y 3 terminados;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dashboard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integrado; despliegue mediante túnel de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Cloudflare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; medición de latencia en CPU/GPU;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model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card</w:t>
            </w:r>
            <w:proofErr w:type="spellEnd"/>
            <w:r w:rsidRPr="0077785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pitch y repositorio final con pesos y pipeline reproducible.</w:t>
            </w:r>
          </w:p>
        </w:tc>
      </w:tr>
    </w:tbl>
    <w:p w14:paraId="19E2F18D" w14:textId="77777777" w:rsidR="00C163DA" w:rsidRPr="00777853" w:rsidRDefault="00C163DA" w:rsidP="00777853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2597B1A" w14:textId="77777777" w:rsidR="00C163DA" w:rsidRPr="00B05E50" w:rsidRDefault="00000000" w:rsidP="007778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853">
        <w:rPr>
          <w:rFonts w:ascii="Times New Roman" w:hAnsi="Times New Roman" w:cs="Times New Roman"/>
          <w:sz w:val="24"/>
          <w:szCs w:val="24"/>
        </w:rPr>
        <w:t xml:space="preserve">7. </w:t>
      </w:r>
      <w:r w:rsidRPr="00B05E50">
        <w:rPr>
          <w:rFonts w:ascii="Times New Roman" w:hAnsi="Times New Roman" w:cs="Times New Roman"/>
          <w:b/>
          <w:bCs/>
          <w:sz w:val="24"/>
          <w:szCs w:val="24"/>
        </w:rPr>
        <w:t>Entregables finales</w:t>
      </w:r>
    </w:p>
    <w:p w14:paraId="2DD455DC" w14:textId="77777777" w:rsidR="00C163DA" w:rsidRPr="00B05E50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Repositorio de GitHub con historial de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commits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y Pull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Requests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por integrante. La rama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main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deberá estar protegida y los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merges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deberán realizarse después de una revisión por pares.</w:t>
      </w:r>
    </w:p>
    <w:p w14:paraId="45EEA25A" w14:textId="77777777" w:rsidR="00C163DA" w:rsidRPr="00B05E50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>Pesos entrenados de cada modelo (</w:t>
      </w:r>
      <w:proofErr w:type="spellStart"/>
      <w:proofErr w:type="gramStart"/>
      <w:r w:rsidRPr="00B05E50">
        <w:rPr>
          <w:rFonts w:ascii="Times New Roman" w:hAnsi="Times New Roman" w:cs="Times New Roman"/>
          <w:sz w:val="24"/>
          <w:szCs w:val="24"/>
          <w:lang w:val="es-CO"/>
        </w:rPr>
        <w:t>checkpoints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.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pth</w:t>
      </w:r>
      <w:proofErr w:type="spellEnd"/>
      <w:proofErr w:type="gram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) y pipeline completamente reproducible, incluyendo requirements.txt o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environment.yml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>, semillas fijas y README con los comandos exactos de reproducción.</w:t>
      </w:r>
    </w:p>
    <w:p w14:paraId="6ED730D5" w14:textId="77777777" w:rsidR="00C163DA" w:rsidRPr="00B05E50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desplegado en vivo mediante un túnel de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Cloudflare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>, accesible desde un navegador en computador (GPU/CPU) y teléfono celular.</w:t>
      </w:r>
    </w:p>
    <w:p w14:paraId="507948EC" w14:textId="77777777" w:rsidR="00C163DA" w:rsidRPr="00B05E50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>Medición del desempeño en GPU y CPU, reportando explícitamente la latencia por imagen.</w:t>
      </w:r>
    </w:p>
    <w:p w14:paraId="57EF7527" w14:textId="5F262AF9" w:rsidR="00C163DA" w:rsidRPr="00B05E50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Model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card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para cada modelo entrenado, con arquitectura, datos de entrenamiento, métricas obtenidas, alcances, limitaciones conocidas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r w:rsidRPr="00B05E50">
        <w:rPr>
          <w:rFonts w:ascii="Times New Roman" w:hAnsi="Times New Roman" w:cs="Times New Roman"/>
          <w:sz w:val="24"/>
          <w:szCs w:val="24"/>
          <w:lang w:val="es-CO"/>
        </w:rPr>
        <w:t>incluido el caso de fragmentos que entran en contacto en la superficie de fractura y pueden fusionarse por errores de segmentación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>,</w:t>
      </w: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y la advertencia de uso no clínico.</w:t>
      </w:r>
    </w:p>
    <w:p w14:paraId="186E36D5" w14:textId="77777777" w:rsidR="00C163DA" w:rsidRPr="00B05E50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Archivo IA_USAGE.md que registre el modelo de IA generativa utilizado, el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prompt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exacto, la parte del código o decisión que se obtuvo mediante IA y las modificaciones realizadas manualmente por el equipo.</w:t>
      </w:r>
    </w:p>
    <w:p w14:paraId="573A3ECD" w14:textId="77777777" w:rsidR="00C163DA" w:rsidRDefault="0000000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Informe técnico corto con estructura de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mini-paper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, que incluya la motivación de las decisiones arquitectónicas, un estudio de ablación (con/sin CBAM y con/sin transfer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learning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en el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backbone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), matriz de confusión de clasificación, galería de los cinco peores casos de detección/segmentación con hipótesis sobre sus causas y comparación de la distancia de separación entre predicción y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ground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B05E50">
        <w:rPr>
          <w:rFonts w:ascii="Times New Roman" w:hAnsi="Times New Roman" w:cs="Times New Roman"/>
          <w:sz w:val="24"/>
          <w:szCs w:val="24"/>
          <w:lang w:val="es-CO"/>
        </w:rPr>
        <w:t>truth</w:t>
      </w:r>
      <w:proofErr w:type="spellEnd"/>
      <w:r w:rsidRPr="00B05E50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2A6EC447" w14:textId="39936FA1" w:rsidR="00B05E50" w:rsidRPr="00B05E50" w:rsidRDefault="00B05E50" w:rsidP="00B05E50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>IA_USAGE.md con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los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promps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y respuestas o sugerencias dadas por modelos de IA usados como apoyo, y su análisis o comparación respecto a lo que les indico y el resultado alcanzado (análisis critico de errores, aciertos y limitaciones encontradas)</w:t>
      </w:r>
    </w:p>
    <w:p w14:paraId="70882BDE" w14:textId="3EEAE8D4" w:rsidR="00C163DA" w:rsidRPr="00B05E50" w:rsidRDefault="00000000" w:rsidP="00B05E50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Pitch final de 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>25</w:t>
      </w:r>
      <w:r w:rsidRPr="00B05E50">
        <w:rPr>
          <w:rFonts w:ascii="Times New Roman" w:hAnsi="Times New Roman" w:cs="Times New Roman"/>
          <w:sz w:val="24"/>
          <w:szCs w:val="24"/>
          <w:lang w:val="es-CO"/>
        </w:rPr>
        <w:t xml:space="preserve"> minutos 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 xml:space="preserve">(15 min presentación y 10 min demostración y preguntas) </w:t>
      </w:r>
      <w:r w:rsidRPr="00B05E50">
        <w:rPr>
          <w:rFonts w:ascii="Times New Roman" w:hAnsi="Times New Roman" w:cs="Times New Roman"/>
          <w:sz w:val="24"/>
          <w:szCs w:val="24"/>
          <w:lang w:val="es-CO"/>
        </w:rPr>
        <w:t>que presente el problema, la arquitectura, los resultados, las limitaciones y una demostración en vivo. El equipo deberá disponer de un video pregrabado como respaldo ante una eventual falla de conexión del túnel durante la sustentación</w:t>
      </w:r>
      <w:r w:rsidR="00B05E50">
        <w:rPr>
          <w:rFonts w:ascii="Times New Roman" w:hAnsi="Times New Roman" w:cs="Times New Roman"/>
          <w:sz w:val="24"/>
          <w:szCs w:val="24"/>
          <w:lang w:val="es-CO"/>
        </w:rPr>
        <w:t xml:space="preserve"> (solo una persona seleccionada por mí, Carlos ferro, realizará la sustanciación y se hará cargo de la nota del curso)</w:t>
      </w:r>
      <w:r w:rsidRPr="00B05E50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0294D9F6" w14:textId="39EFC1D5" w:rsidR="00C163DA" w:rsidRPr="00B05E50" w:rsidRDefault="00C163DA" w:rsidP="001F16D1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sectPr w:rsidR="00C163DA" w:rsidRPr="00B05E5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5A9F" w14:textId="77777777" w:rsidR="00AD3107" w:rsidRDefault="00AD3107">
      <w:pPr>
        <w:spacing w:after="0" w:line="240" w:lineRule="auto"/>
      </w:pPr>
      <w:r>
        <w:separator/>
      </w:r>
    </w:p>
  </w:endnote>
  <w:endnote w:type="continuationSeparator" w:id="0">
    <w:p w14:paraId="47DBB31C" w14:textId="77777777" w:rsidR="00AD3107" w:rsidRDefault="00AD3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7EBAC" w14:textId="77777777" w:rsidR="00AD3107" w:rsidRDefault="00AD3107">
      <w:pPr>
        <w:spacing w:after="0" w:line="240" w:lineRule="auto"/>
      </w:pPr>
      <w:r>
        <w:separator/>
      </w:r>
    </w:p>
  </w:footnote>
  <w:footnote w:type="continuationSeparator" w:id="0">
    <w:p w14:paraId="3BA4AFD5" w14:textId="77777777" w:rsidR="00AD3107" w:rsidRDefault="00AD3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E2DD4"/>
    <w:multiLevelType w:val="hybridMultilevel"/>
    <w:tmpl w:val="B78AD9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573AD"/>
    <w:multiLevelType w:val="hybridMultilevel"/>
    <w:tmpl w:val="E132E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41772"/>
    <w:multiLevelType w:val="hybridMultilevel"/>
    <w:tmpl w:val="357ADF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27542">
    <w:abstractNumId w:val="8"/>
  </w:num>
  <w:num w:numId="2" w16cid:durableId="1717075537">
    <w:abstractNumId w:val="6"/>
  </w:num>
  <w:num w:numId="3" w16cid:durableId="545608682">
    <w:abstractNumId w:val="5"/>
  </w:num>
  <w:num w:numId="4" w16cid:durableId="1974479625">
    <w:abstractNumId w:val="4"/>
  </w:num>
  <w:num w:numId="5" w16cid:durableId="476996507">
    <w:abstractNumId w:val="7"/>
  </w:num>
  <w:num w:numId="6" w16cid:durableId="18749236">
    <w:abstractNumId w:val="3"/>
  </w:num>
  <w:num w:numId="7" w16cid:durableId="1085877176">
    <w:abstractNumId w:val="2"/>
  </w:num>
  <w:num w:numId="8" w16cid:durableId="1472863347">
    <w:abstractNumId w:val="1"/>
  </w:num>
  <w:num w:numId="9" w16cid:durableId="1196192762">
    <w:abstractNumId w:val="0"/>
  </w:num>
  <w:num w:numId="10" w16cid:durableId="676462807">
    <w:abstractNumId w:val="11"/>
  </w:num>
  <w:num w:numId="11" w16cid:durableId="1921064290">
    <w:abstractNumId w:val="9"/>
  </w:num>
  <w:num w:numId="12" w16cid:durableId="1561407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40B"/>
    <w:rsid w:val="0006063C"/>
    <w:rsid w:val="0015074B"/>
    <w:rsid w:val="001660BC"/>
    <w:rsid w:val="001F16D1"/>
    <w:rsid w:val="0029639D"/>
    <w:rsid w:val="00326F90"/>
    <w:rsid w:val="00577477"/>
    <w:rsid w:val="00777853"/>
    <w:rsid w:val="00AA1D8D"/>
    <w:rsid w:val="00AD3107"/>
    <w:rsid w:val="00B05E50"/>
    <w:rsid w:val="00B47730"/>
    <w:rsid w:val="00C163DA"/>
    <w:rsid w:val="00CB0664"/>
    <w:rsid w:val="00EB3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94D08"/>
  <w14:defaultImageDpi w14:val="300"/>
  <w15:docId w15:val="{B95D41F7-7C26-4E6E-AD62-B1AF82B0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778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785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78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ngwin.grand-challeng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2174</Words>
  <Characters>11959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Andres Ferro Sanchez</cp:lastModifiedBy>
  <cp:revision>3</cp:revision>
  <dcterms:created xsi:type="dcterms:W3CDTF">2013-12-23T23:15:00Z</dcterms:created>
  <dcterms:modified xsi:type="dcterms:W3CDTF">2026-09-16T13:40:00Z</dcterms:modified>
  <cp:category/>
</cp:coreProperties>
</file>