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before="0" w:after="120" w:line="240" w:lineRule="auto"/>
        <w:jc w:val="center"/>
      </w:pPr>
      <w:r>
        <w:rPr>
          <w:rFonts w:ascii="Times New Roman" w:hAnsi="Times New Roman" w:cs="Times New Roman" w:eastAsia="Times New Roman"/>
          <w:b w:val="0"/>
          <w:i w:val="0"/>
          <w:smallCaps w:val="0"/>
          <w:sz w:val="40"/>
        </w:rPr>
        <w:t>Detección, segmentación y medición de fragmentos en fracturas pélvicas a partir de CT con una red multitarea 2.5D propia</w:t>
      </w:r>
    </w:p>
    <w:p>
      <w:pPr>
        <w:keepNext w:val="0"/>
        <w:widowControl/>
        <w:spacing w:before="0" w:after="20" w:line="240" w:lineRule="auto"/>
        <w:jc w:val="center"/>
      </w:pPr>
      <w:r>
        <w:rPr>
          <w:rFonts w:ascii="Times New Roman" w:hAnsi="Times New Roman" w:cs="Times New Roman" w:eastAsia="Times New Roman"/>
          <w:b w:val="0"/>
          <w:i w:val="0"/>
          <w:smallCaps w:val="0"/>
          <w:sz w:val="20"/>
        </w:rPr>
        <w:t>Yáxul Santiago Cárdenas Hincapié, Nicolas Santiago Cuaran Sotelo, Juan José Orozco López, David Felipe Martínez Viracacha</w:t>
      </w:r>
    </w:p>
    <w:p>
      <w:pPr>
        <w:keepNext w:val="0"/>
        <w:widowControl/>
        <w:spacing w:before="0" w:after="120" w:line="240" w:lineRule="auto"/>
        <w:jc w:val="center"/>
      </w:pPr>
      <w:r>
        <w:rPr>
          <w:rFonts w:ascii="Times New Roman" w:hAnsi="Times New Roman" w:cs="Times New Roman" w:eastAsia="Times New Roman"/>
          <w:b w:val="0"/>
          <w:i/>
          <w:smallCaps w:val="0"/>
          <w:sz w:val="18"/>
        </w:rPr>
        <w:t>Analítica de Datos, Facultad de Ingeniería, Universidad Autónoma de Occidente, Cali, Colombia · Proyecto Integrador Corte 2, 2026-2</w:t>
      </w:r>
    </w:p>
    <w:p>
      <w:pPr>
        <w:sectPr>
          <w:pgSz w:w="12240" w:h="15840"/>
          <w:pgMar w:top="1080" w:right="893" w:bottom="1440" w:left="893" w:header="720" w:footer="720" w:gutter="0"/>
          <w:cols w:space="360" w:num="1" w:equalWidth="1"/>
          <w:docGrid w:linePitch="360"/>
        </w:sectPr>
      </w:pPr>
    </w:p>
    <w:p>
      <w:pPr>
        <w:keepNext w:val="0"/>
        <w:widowControl/>
        <w:spacing w:before="0" w:after="60" w:line="240" w:lineRule="auto"/>
        <w:jc w:val="both"/>
      </w:pPr>
      <w:r>
        <w:rPr>
          <w:rFonts w:ascii="Times New Roman" w:hAnsi="Times New Roman" w:cs="Times New Roman" w:eastAsia="Times New Roman"/>
          <w:b/>
          <w:i/>
          <w:smallCaps w:val="0"/>
          <w:sz w:val="18"/>
        </w:rPr>
        <w:t>Resumen</w:t>
      </w:r>
      <w:r>
        <w:rPr>
          <w:rFonts w:ascii="Times New Roman" w:hAnsi="Times New Roman" w:cs="Times New Roman" w:eastAsia="Times New Roman"/>
          <w:b/>
          <w:i w:val="0"/>
          <w:smallCaps w:val="0"/>
          <w:sz w:val="18"/>
        </w:rPr>
        <w:t>—</w:t>
      </w:r>
      <w:r>
        <w:rPr>
          <w:rFonts w:ascii="Times New Roman" w:hAnsi="Times New Roman" w:cs="Times New Roman" w:eastAsia="Times New Roman"/>
          <w:b/>
          <w:i w:val="0"/>
          <w:smallCaps w:val="0"/>
          <w:sz w:val="18"/>
        </w:rPr>
        <w:t>Se presenta un sistema propio que, a partir de una tomografía computarizada (CT) de pelvis fracturada, detecta el sacro y los dos coxales, separa y colorea los fragmentos de cada hueso y mide en milímetros la distancia de cada secundario al principal. Una red 2.5D con el backbone FundidoraPC extendido y CBAM alimenta tres cabezas (clasificación, detección con grid y NMS propios, y segmentación de región y borde), y una segunda etapa sin aprendizaje convierte región y borde en fragmentos. El informe se centra en las variantes probadas: primero se midió el ruido de semilla (σ = 0,0097 en Dice por fragmento) y cada candidato se juzgó contra él con validación cruzada por paciente, sin usar el test. Entre las variantes que permite el enunciado, solo lo superaron la separación por distancia, la TTA de cinco pasadas y el rescate de semillas por h-máxima. En el test de 15 pacientes: F1 0,993, mAP@[0,5:0,95] 0,864, Dice por fragmento 0,768 (meta 0,85) e IoU 0,697, no concluyente frente a 0,70. El límite está en la cabeza de borde y en la grilla de 256 px. Uso exclusivamente académico.</w:t>
      </w:r>
    </w:p>
    <w:p>
      <w:pPr>
        <w:keepNext w:val="0"/>
        <w:widowControl/>
        <w:spacing w:before="0" w:after="0" w:line="240" w:lineRule="auto"/>
        <w:jc w:val="both"/>
      </w:pPr>
      <w:r>
        <w:rPr>
          <w:rFonts w:ascii="Times New Roman" w:hAnsi="Times New Roman" w:cs="Times New Roman" w:eastAsia="Times New Roman"/>
          <w:b/>
          <w:i/>
          <w:smallCaps w:val="0"/>
          <w:sz w:val="18"/>
        </w:rPr>
        <w:t>Palabras clave</w:t>
      </w:r>
      <w:r>
        <w:rPr>
          <w:rFonts w:ascii="Times New Roman" w:hAnsi="Times New Roman" w:cs="Times New Roman" w:eastAsia="Times New Roman"/>
          <w:b/>
          <w:i w:val="0"/>
          <w:smallCaps w:val="0"/>
          <w:sz w:val="18"/>
        </w:rPr>
        <w:t>—</w:t>
      </w:r>
      <w:r>
        <w:rPr>
          <w:rFonts w:ascii="Times New Roman" w:hAnsi="Times New Roman" w:cs="Times New Roman" w:eastAsia="Times New Roman"/>
          <w:b/>
          <w:i w:val="0"/>
          <w:smallCaps w:val="0"/>
          <w:sz w:val="18"/>
        </w:rPr>
        <w:t>atención CBAM, detección anchor-free, fracturas pélvicas, ruido de semilla, segmentación de instancias, tomografía computarizada.</w:t>
      </w:r>
    </w:p>
    <w:p>
      <w:pPr>
        <w:keepNext/>
        <w:widowControl/>
        <w:spacing w:before="120" w:after="40" w:line="240" w:lineRule="auto"/>
        <w:jc w:val="center"/>
      </w:pPr>
      <w:r>
        <w:rPr>
          <w:rFonts w:ascii="Times New Roman" w:hAnsi="Times New Roman" w:cs="Times New Roman" w:eastAsia="Times New Roman"/>
          <w:b w:val="0"/>
          <w:i w:val="0"/>
          <w:smallCaps/>
          <w:sz w:val="20"/>
        </w:rPr>
        <w:t>I. Introducción</w:t>
      </w:r>
    </w:p>
    <w:p>
      <w:pPr>
        <w:keepNext w:val="0"/>
        <w:widowControl/>
        <w:spacing w:before="0" w:after="0" w:line="240" w:lineRule="auto"/>
        <w:ind w:firstLine="202"/>
        <w:jc w:val="both"/>
      </w:pPr>
      <w:r>
        <w:rPr>
          <w:rFonts w:ascii="Times New Roman" w:hAnsi="Times New Roman" w:cs="Times New Roman" w:eastAsia="Times New Roman"/>
          <w:b w:val="0"/>
          <w:i w:val="0"/>
          <w:smallCaps w:val="0"/>
          <w:sz w:val="20"/>
        </w:rPr>
        <w:t>Para planear la reducción de una fractura pélvica hay que saber cuántos fragmentos hay, a qué hueso pertenece cada uno y cuánto se separó. El reto PENGWIN [1] publicó 100 tomografías con los fragmentos anotados por ortopedistas [2]. El enunciado pide un sistema propio: backbone derivado de FundidoraPC, CBAM [3] antes de la bifurcación, tres cabezas sobre un mismo backbone, grid y NMS del equipo, sin YOLO, Detectron2 ni Mask R-CNN preentrenado, y SAM solo como línea base.</w:t>
      </w:r>
    </w:p>
    <w:p>
      <w:pPr>
        <w:keepNext w:val="0"/>
        <w:widowControl/>
        <w:spacing w:before="0" w:after="0" w:line="240" w:lineRule="auto"/>
        <w:ind w:firstLine="202"/>
        <w:jc w:val="both"/>
      </w:pPr>
      <w:r>
        <w:rPr>
          <w:rFonts w:ascii="Times New Roman" w:hAnsi="Times New Roman" w:cs="Times New Roman" w:eastAsia="Times New Roman"/>
          <w:b w:val="0"/>
          <w:i w:val="0"/>
          <w:smallCaps w:val="0"/>
          <w:sz w:val="20"/>
        </w:rPr>
        <w:t>Este informe recorre los datos, el modelo y, sobre todo, qué se probó y con qué prueba se descartó. Cada cifra sale de los notebooks (04_notebook) o de los archivos que leen (reports/). La validación cruzada (CV) se mide en la grilla de 256 px y el test en la grilla nativa; las tablas no las mezclan.</w:t>
      </w:r>
    </w:p>
    <w:p>
      <w:pPr>
        <w:keepNext/>
        <w:widowControl/>
        <w:spacing w:before="120" w:after="40" w:line="240" w:lineRule="auto"/>
        <w:jc w:val="center"/>
      </w:pPr>
      <w:r>
        <w:rPr>
          <w:rFonts w:ascii="Times New Roman" w:hAnsi="Times New Roman" w:cs="Times New Roman" w:eastAsia="Times New Roman"/>
          <w:b w:val="0"/>
          <w:i w:val="0"/>
          <w:smallCaps/>
          <w:sz w:val="20"/>
        </w:rPr>
        <w:t>II. Datos y pipeline</w:t>
      </w:r>
    </w:p>
    <w:p>
      <w:pPr>
        <w:keepNext/>
        <w:widowControl/>
        <w:spacing w:before="60" w:after="20" w:line="240" w:lineRule="auto"/>
        <w:jc w:val="left"/>
      </w:pPr>
      <w:r>
        <w:rPr>
          <w:rFonts w:ascii="Times New Roman" w:hAnsi="Times New Roman" w:cs="Times New Roman" w:eastAsia="Times New Roman"/>
          <w:b w:val="0"/>
          <w:i/>
          <w:smallCaps w:val="0"/>
          <w:sz w:val="20"/>
        </w:rPr>
        <w:t>A. Conjunto y partición</w:t>
      </w:r>
    </w:p>
    <w:p>
      <w:pPr>
        <w:keepNext w:val="0"/>
        <w:widowControl/>
        <w:spacing w:before="0" w:after="0" w:line="240" w:lineRule="auto"/>
        <w:ind w:firstLine="202"/>
        <w:jc w:val="both"/>
      </w:pPr>
      <w:r>
        <w:rPr>
          <w:rFonts w:ascii="Times New Roman" w:hAnsi="Times New Roman" w:cs="Times New Roman" w:eastAsia="Times New Roman"/>
          <w:b w:val="0"/>
          <w:i w:val="0"/>
          <w:smallCaps w:val="0"/>
          <w:sz w:val="20"/>
        </w:rPr>
        <w:t>Cada caso trae el CT en unidades Hounsfield (HU) y una máscara con hasta 10 fragmentos por hueso: 1-10 sacro (SA), 11-20 coxal izquierdo (LI) y 21-30 coxal derecho (RI); 1, 11 y 21 son los principales. Los 100 casos suman 575 fragmentos, 275 de ellos secundarios, y el 88,7 % de los secundarios toca a su principal. La partición es fija y por paciente (70/15/15): entre 20 000 particiones aleatorias se eligió la de menor diferencia estandarizada máxima (SMD 0,155) en ocho variables del patrón de fractura. Para el ajuste, los 85 casos de entrenamiento y validación se dividieron en 5 folds de 17 pacientes.</w:t>
      </w:r>
    </w:p>
    <w:tbl>
      <w:tblPr>
        <w:tblpPr w:leftFromText="0" w:rightFromText="0" w:topFromText="170" w:bottomFromText="0" w:vertAnchor="margin" w:horzAnchor="margin" w:tblpXSpec="center" w:tblpYSpec="bottom"/>
        <w:tblLook w:firstColumn="1" w:firstRow="1" w:lastColumn="0" w:lastRow="0" w:noHBand="0" w:noVBand="1" w:val="04A0"/>
        <w:tblOverlap w:val="never"/>
        <w:tblW w:w="10454" w:type="dxa"/>
        <w:tblLayout w:type="fixed"/>
        <w:tblBorders>
          <w:top w:val="nil"/>
          <w:left w:val="nil"/>
          <w:bottom w:val="nil"/>
          <w:right w:val="nil"/>
          <w:insideH w:val="nil"/>
          <w:insideV w:val="nil"/>
        </w:tblBorders>
        <w:tblCellMar>
          <w:top w:w="0" w:type="dxa"/>
          <w:left w:w="0" w:type="dxa"/>
          <w:bottom w:w="0" w:type="dxa"/>
          <w:right w:w="0" w:type="dxa"/>
        </w:tblCellMar>
      </w:tblPr>
      <w:tblGrid>
        <w:gridCol w:w="10454"/>
      </w:tblGrid>
      <w:tr>
        <w:tc>
          <w:tcPr>
            <w:tcW w:type="dxa" w:w="10454"/>
          </w:tcPr>
          <w:p>
            <w:pPr>
              <w:keepNext w:val="0"/>
              <w:widowControl/>
              <w:spacing w:before="0" w:after="40" w:line="240" w:lineRule="auto"/>
              <w:jc w:val="center"/>
            </w:pPr>
            <w:r>
              <w:drawing>
                <wp:inline xmlns:a="http://schemas.openxmlformats.org/drawingml/2006/main" xmlns:pic="http://schemas.openxmlformats.org/drawingml/2006/picture">
                  <wp:extent cx="6035040" cy="2086400"/>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6035040" cy="2086400"/>
                          </a:xfrm>
                          <a:prstGeom prst="rect"/>
                        </pic:spPr>
                      </pic:pic>
                    </a:graphicData>
                  </a:graphic>
                </wp:inline>
              </w:drawing>
            </w:r>
          </w:p>
          <w:p>
            <w:pPr>
              <w:keepNext w:val="0"/>
              <w:widowControl/>
              <w:spacing w:before="0" w:after="0" w:line="240" w:lineRule="auto"/>
              <w:jc w:val="both"/>
            </w:pPr>
            <w:r>
              <w:rPr>
                <w:rFonts w:ascii="Times New Roman" w:hAnsi="Times New Roman" w:cs="Times New Roman" w:eastAsia="Times New Roman"/>
                <w:sz w:val="16"/>
              </w:rPr>
              <w:t xml:space="preserve">Fig. 1.  </w:t>
            </w:r>
            <w:r>
              <w:rPr>
                <w:rFonts w:ascii="Times New Roman" w:hAnsi="Times New Roman" w:cs="Times New Roman" w:eastAsia="Times New Roman"/>
                <w:b w:val="0"/>
                <w:i w:val="0"/>
                <w:smallCaps w:val="0"/>
                <w:sz w:val="16"/>
              </w:rPr>
              <w:t>Pipeline completo de los datos. Arriba, la preparación que se hace una vez por caso y queda en caché; en el centro, la inferencia corte a corte; abajo, la segunda etapa sobre el volumen apilado, sin aprendizaje, que produce los fragmentos, la distancia en mm, las métricas y los visualizadores. El visualizador 1 lee el CT crudo y no pasa por el modelo.</w:t>
            </w:r>
          </w:p>
        </w:tc>
      </w:tr>
    </w:tbl>
    <w:p>
      <w:pPr>
        <w:keepNext/>
        <w:widowControl/>
        <w:spacing w:before="60" w:after="20" w:line="240" w:lineRule="auto"/>
        <w:jc w:val="left"/>
      </w:pPr>
      <w:r>
        <w:rPr>
          <w:rFonts w:ascii="Times New Roman" w:hAnsi="Times New Roman" w:cs="Times New Roman" w:eastAsia="Times New Roman"/>
          <w:b w:val="0"/>
          <w:i/>
          <w:smallCaps w:val="0"/>
          <w:sz w:val="20"/>
        </w:rPr>
        <w:t>B. Preprocesado</w:t>
      </w:r>
    </w:p>
    <w:p>
      <w:pPr>
        <w:keepNext w:val="0"/>
        <w:widowControl/>
        <w:spacing w:before="0" w:after="0" w:line="240" w:lineRule="auto"/>
        <w:ind w:firstLine="202"/>
        <w:jc w:val="both"/>
      </w:pPr>
      <w:r>
        <w:rPr>
          <w:rFonts w:ascii="Times New Roman" w:hAnsi="Times New Roman" w:cs="Times New Roman" w:eastAsia="Times New Roman"/>
          <w:b w:val="0"/>
          <w:i w:val="0"/>
          <w:smallCaps w:val="0"/>
          <w:sz w:val="20"/>
        </w:rPr>
        <w:t>El 34 % de los volúmenes viene en orientación RAS; todos se llevan a LPS con los cosenos directores del header, sin interpolar (Fig. 1). El plano axial se recorta a un cuadrado alrededor del esqueleto calculado solo con la imagen, lo que da 1,27 mm por píxel (mediana) frente a 1,56 mm con el cuerpo entero, sin cortar hueso en ninguno de los 100 casos. La ventana L400/W1800 deja sin saturar el 99,6 % del hueso y cada corte pasa a 256 × 256; la etiqueta se remuestrea por vecino más cercano. La red recibe los cortes z−Δ, z y z+Δ como canales, con Δ = round(2 mm/dz). El objetivo de borde es la superficie entre fragmentos calculada en 3D (6-vecindad) y dilatada 2 px, de modo que también marca los contactos entre cortes vecinos.</w:t>
      </w:r>
    </w:p>
    <w:p>
      <w:pPr>
        <w:keepNext/>
        <w:widowControl/>
        <w:spacing w:before="120" w:after="40" w:line="240" w:lineRule="auto"/>
        <w:jc w:val="center"/>
      </w:pPr>
      <w:r>
        <w:rPr>
          <w:rFonts w:ascii="Times New Roman" w:hAnsi="Times New Roman" w:cs="Times New Roman" w:eastAsia="Times New Roman"/>
          <w:b w:val="0"/>
          <w:i w:val="0"/>
          <w:smallCaps/>
          <w:sz w:val="20"/>
        </w:rPr>
        <w:t>III. Modelo</w:t>
      </w:r>
    </w:p>
    <w:p>
      <w:pPr>
        <w:keepNext w:val="0"/>
        <w:widowControl/>
        <w:spacing w:before="0" w:after="0" w:line="240" w:lineRule="auto"/>
        <w:ind w:firstLine="202"/>
        <w:jc w:val="both"/>
      </w:pPr>
      <w:r>
        <w:rPr>
          <w:rFonts w:ascii="Times New Roman" w:hAnsi="Times New Roman" w:cs="Times New Roman" w:eastAsia="Times New Roman"/>
          <w:b w:val="0"/>
          <w:i w:val="0"/>
          <w:smallCaps w:val="0"/>
          <w:sz w:val="20"/>
        </w:rPr>
        <w:t>El backbone conserva las cuatro etapas de FundidoraPC (32-64-128-256 canales) y añade un bloque residual por etapa cuya última BN arranca en cero, de modo que con los pesos cargados la red reproduce la salida original (Fig. 2). Solo las conv+BN de la FundidoraPC del Taller 3 se transfieren; lo demás parte de cero. CBAM se aplica en las etapas 3 y 4 mezclado con la identidad,</w:t>
      </w:r>
    </w:p>
    <w:p>
      <w:pPr>
        <w:keepNext w:val="0"/>
        <w:widowControl/>
        <w:tabs>
          <w:tab w:pos="2524" w:val="center"/>
          <w:tab w:pos="5033" w:val="right"/>
        </w:tabs>
        <w:spacing w:before="60" w:after="60" w:line="240" w:lineRule="auto"/>
        <w:jc w:val="left"/>
      </w:pPr>
      <w:r>
        <w:rPr>
          <w:rFonts w:ascii="Times New Roman" w:hAnsi="Times New Roman" w:cs="Times New Roman" w:eastAsia="Times New Roman"/>
          <w:b w:val="0"/>
          <w:i w:val="0"/>
          <w:smallCaps w:val="0"/>
          <w:sz w:val="20"/>
        </w:rPr>
        <w:tab/>
      </w:r>
      <w:r>
        <w:rPr>
          <w:rFonts w:ascii="Times New Roman" w:hAnsi="Times New Roman" w:cs="Times New Roman" w:eastAsia="Times New Roman"/>
          <w:b w:val="0"/>
          <w:i/>
          <w:smallCaps w:val="0"/>
          <w:sz w:val="20"/>
        </w:rPr>
        <w:t>y</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x</w:t>
      </w:r>
      <w:r>
        <w:rPr>
          <w:rFonts w:ascii="Times New Roman" w:hAnsi="Times New Roman" w:cs="Times New Roman" w:eastAsia="Times New Roman"/>
          <w:b w:val="0"/>
          <w:i w:val="0"/>
          <w:smallCaps w:val="0"/>
          <w:sz w:val="20"/>
        </w:rPr>
        <w:t xml:space="preserve"> + γ (CBAM(</w:t>
      </w:r>
      <w:r>
        <w:rPr>
          <w:rFonts w:ascii="Times New Roman" w:hAnsi="Times New Roman" w:cs="Times New Roman" w:eastAsia="Times New Roman"/>
          <w:b w:val="0"/>
          <w:i/>
          <w:smallCaps w:val="0"/>
          <w:sz w:val="20"/>
        </w:rPr>
        <w:t>x</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x</w:t>
      </w:r>
      <w:r>
        <w:rPr>
          <w:rFonts w:ascii="Times New Roman" w:hAnsi="Times New Roman" w:cs="Times New Roman" w:eastAsia="Times New Roman"/>
          <w:b w:val="0"/>
          <w:i w:val="0"/>
          <w:smallCaps w:val="0"/>
          <w:sz w:val="20"/>
        </w:rPr>
        <w:t>),</w:t>
        <w:tab/>
      </w:r>
      <w:r>
        <w:rPr>
          <w:rFonts w:ascii="Times New Roman" w:hAnsi="Times New Roman" w:cs="Times New Roman" w:eastAsia="Times New Roman"/>
          <w:sz w:val="20"/>
        </w:rPr>
        <w:t>(1)</w:t>
      </w:r>
    </w:p>
    <w:p>
      <w:pPr>
        <w:keepNext w:val="0"/>
        <w:widowControl/>
        <w:spacing w:before="0" w:after="0" w:line="240" w:lineRule="auto"/>
        <w:jc w:val="both"/>
      </w:pPr>
      <w:r>
        <w:rPr>
          <w:rFonts w:ascii="Times New Roman" w:hAnsi="Times New Roman" w:cs="Times New Roman" w:eastAsia="Times New Roman"/>
          <w:b w:val="0"/>
          <w:i w:val="0"/>
          <w:smallCaps w:val="0"/>
          <w:sz w:val="20"/>
        </w:rPr>
        <w:t>con γ aprendible desde 0, que mide cuánto lo usa la red. La detección es anchor-free sobre P3 (32 × 32 celdas, stride 8): cada celda predice por hueso un puntaje y las distancias (</w:t>
      </w:r>
      <w:r>
        <w:rPr>
          <w:rFonts w:ascii="Times New Roman" w:hAnsi="Times New Roman" w:cs="Times New Roman" w:eastAsia="Times New Roman"/>
          <w:b w:val="0"/>
          <w:i/>
          <w:smallCaps w:val="0"/>
          <w:sz w:val="20"/>
        </w:rPr>
        <w:t>l</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smallCaps w:val="0"/>
          <w:sz w:val="20"/>
        </w:rPr>
        <w:t>t</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smallCaps w:val="0"/>
          <w:sz w:val="20"/>
        </w:rPr>
        <w:t>r</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smallCaps w:val="0"/>
          <w:sz w:val="20"/>
        </w:rPr>
        <w:t>b</w:t>
      </w:r>
      <w:r>
        <w:rPr>
          <w:rFonts w:ascii="Times New Roman" w:hAnsi="Times New Roman" w:cs="Times New Roman" w:eastAsia="Times New Roman"/>
          <w:b w:val="0"/>
          <w:i w:val="0"/>
          <w:smallCaps w:val="0"/>
          <w:sz w:val="20"/>
        </w:rPr>
        <w:t>) a los lados de la caja, como FCOS [4], con pérdida focal [5] y 1 − GIoU [6]; la NMS voraz por clase deja una caja por hueso. El decodificador, con saltos a C2 y C1 como en U-Net [7], predice la región de 4 clases y el borde. La pérdida es</w:t>
      </w:r>
    </w:p>
    <w:p>
      <w:pPr>
        <w:keepNext w:val="0"/>
        <w:widowControl/>
        <w:tabs>
          <w:tab w:pos="2524" w:val="center"/>
          <w:tab w:pos="5033" w:val="right"/>
        </w:tabs>
        <w:spacing w:before="60" w:after="60" w:line="240" w:lineRule="auto"/>
        <w:jc w:val="left"/>
      </w:pPr>
      <w:r>
        <w:rPr>
          <w:rFonts w:ascii="Times New Roman" w:hAnsi="Times New Roman" w:cs="Times New Roman" w:eastAsia="Times New Roman"/>
          <w:b w:val="0"/>
          <w:i w:val="0"/>
          <w:smallCaps w:val="0"/>
          <w:sz w:val="20"/>
        </w:rPr>
        <w:tab/>
      </w:r>
      <w:r>
        <w:rPr>
          <w:rFonts w:ascii="Times New Roman" w:hAnsi="Times New Roman" w:cs="Times New Roman" w:eastAsia="Times New Roman"/>
          <w:b w:val="0"/>
          <w:i/>
          <w:smallCaps w:val="0"/>
          <w:sz w:val="20"/>
        </w:rPr>
        <w:t>L</w:t>
      </w:r>
      <w:r>
        <w:rPr>
          <w:rFonts w:ascii="Times New Roman" w:hAnsi="Times New Roman" w:cs="Times New Roman" w:eastAsia="Times New Roman"/>
          <w:b w:val="0"/>
          <w:i w:val="0"/>
          <w:smallCaps w:val="0"/>
          <w:sz w:val="20"/>
        </w:rPr>
        <w:t xml:space="preserve"> = λ</w:t>
      </w:r>
      <w:r>
        <w:rPr>
          <w:rFonts w:ascii="Times New Roman" w:hAnsi="Times New Roman" w:cs="Times New Roman" w:eastAsia="Times New Roman"/>
          <w:b w:val="0"/>
          <w:i w:val="0"/>
          <w:smallCaps w:val="0"/>
          <w:sz w:val="20"/>
          <w:vertAlign w:val="subscript"/>
        </w:rPr>
        <w:t>cls</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smallCaps w:val="0"/>
          <w:sz w:val="20"/>
        </w:rPr>
        <w:t>L</w:t>
      </w:r>
      <w:r>
        <w:rPr>
          <w:rFonts w:ascii="Times New Roman" w:hAnsi="Times New Roman" w:cs="Times New Roman" w:eastAsia="Times New Roman"/>
          <w:b w:val="0"/>
          <w:i w:val="0"/>
          <w:smallCaps w:val="0"/>
          <w:sz w:val="20"/>
          <w:vertAlign w:val="subscript"/>
        </w:rPr>
        <w:t>cls</w:t>
      </w:r>
      <w:r>
        <w:rPr>
          <w:rFonts w:ascii="Times New Roman" w:hAnsi="Times New Roman" w:cs="Times New Roman" w:eastAsia="Times New Roman"/>
          <w:b w:val="0"/>
          <w:i w:val="0"/>
          <w:smallCaps w:val="0"/>
          <w:sz w:val="20"/>
        </w:rPr>
        <w:t xml:space="preserve"> + λ</w:t>
      </w:r>
      <w:r>
        <w:rPr>
          <w:rFonts w:ascii="Times New Roman" w:hAnsi="Times New Roman" w:cs="Times New Roman" w:eastAsia="Times New Roman"/>
          <w:b w:val="0"/>
          <w:i w:val="0"/>
          <w:smallCaps w:val="0"/>
          <w:sz w:val="20"/>
          <w:vertAlign w:val="subscript"/>
        </w:rPr>
        <w:t>det</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smallCaps w:val="0"/>
          <w:sz w:val="20"/>
        </w:rPr>
        <w:t>L</w:t>
      </w:r>
      <w:r>
        <w:rPr>
          <w:rFonts w:ascii="Times New Roman" w:hAnsi="Times New Roman" w:cs="Times New Roman" w:eastAsia="Times New Roman"/>
          <w:b w:val="0"/>
          <w:i w:val="0"/>
          <w:smallCaps w:val="0"/>
          <w:sz w:val="20"/>
          <w:vertAlign w:val="subscript"/>
        </w:rPr>
        <w:t>det</w:t>
      </w:r>
      <w:r>
        <w:rPr>
          <w:rFonts w:ascii="Times New Roman" w:hAnsi="Times New Roman" w:cs="Times New Roman" w:eastAsia="Times New Roman"/>
          <w:b w:val="0"/>
          <w:i w:val="0"/>
          <w:smallCaps w:val="0"/>
          <w:sz w:val="20"/>
        </w:rPr>
        <w:t xml:space="preserve"> + λ</w:t>
      </w:r>
      <w:r>
        <w:rPr>
          <w:rFonts w:ascii="Times New Roman" w:hAnsi="Times New Roman" w:cs="Times New Roman" w:eastAsia="Times New Roman"/>
          <w:b w:val="0"/>
          <w:i w:val="0"/>
          <w:smallCaps w:val="0"/>
          <w:sz w:val="20"/>
          <w:vertAlign w:val="subscript"/>
        </w:rPr>
        <w:t>seg</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smallCaps w:val="0"/>
          <w:sz w:val="20"/>
        </w:rPr>
        <w:t>L</w:t>
      </w:r>
      <w:r>
        <w:rPr>
          <w:rFonts w:ascii="Times New Roman" w:hAnsi="Times New Roman" w:cs="Times New Roman" w:eastAsia="Times New Roman"/>
          <w:b w:val="0"/>
          <w:i w:val="0"/>
          <w:smallCaps w:val="0"/>
          <w:sz w:val="20"/>
          <w:vertAlign w:val="subscript"/>
        </w:rPr>
        <w:t>seg</w:t>
      </w:r>
      <w:r>
        <w:rPr>
          <w:rFonts w:ascii="Times New Roman" w:hAnsi="Times New Roman" w:cs="Times New Roman" w:eastAsia="Times New Roman"/>
          <w:b w:val="0"/>
          <w:i w:val="0"/>
          <w:smallCaps w:val="0"/>
          <w:sz w:val="20"/>
        </w:rPr>
        <w:t>.</w:t>
        <w:tab/>
      </w:r>
      <w:r>
        <w:rPr>
          <w:rFonts w:ascii="Times New Roman" w:hAnsi="Times New Roman" w:cs="Times New Roman" w:eastAsia="Times New Roman"/>
          <w:sz w:val="20"/>
        </w:rPr>
        <w:t>(2)</w:t>
      </w:r>
    </w:p>
    <w:tbl>
      <w:tblPr>
        <w:tblpPr w:leftFromText="0" w:rightFromText="0" w:topFromText="0" w:bottomFromText="170" w:vertAnchor="margin" w:horzAnchor="margin" w:tblpXSpec="center" w:tblpYSpec="top"/>
        <w:tblLook w:firstColumn="1" w:firstRow="1" w:lastColumn="0" w:lastRow="0" w:noHBand="0" w:noVBand="1" w:val="04A0"/>
        <w:tblOverlap w:val="never"/>
        <w:tblW w:w="10454" w:type="dxa"/>
        <w:tblLayout w:type="fixed"/>
        <w:tblBorders>
          <w:top w:val="nil"/>
          <w:left w:val="nil"/>
          <w:bottom w:val="nil"/>
          <w:right w:val="nil"/>
          <w:insideH w:val="nil"/>
          <w:insideV w:val="nil"/>
        </w:tblBorders>
        <w:tblCellMar>
          <w:top w:w="0" w:type="dxa"/>
          <w:left w:w="0" w:type="dxa"/>
          <w:bottom w:w="0" w:type="dxa"/>
          <w:right w:w="0" w:type="dxa"/>
        </w:tblCellMar>
      </w:tblPr>
      <w:tblGrid>
        <w:gridCol w:w="10454"/>
      </w:tblGrid>
      <w:tr>
        <w:tc>
          <w:tcPr>
            <w:tcW w:type="dxa" w:w="10454"/>
          </w:tcPr>
          <w:p>
            <w:pPr>
              <w:keepNext w:val="0"/>
              <w:widowControl/>
              <w:spacing w:before="0" w:after="40" w:line="240" w:lineRule="auto"/>
              <w:jc w:val="center"/>
            </w:pPr>
            <w:r>
              <w:drawing>
                <wp:inline xmlns:a="http://schemas.openxmlformats.org/drawingml/2006/main" xmlns:pic="http://schemas.openxmlformats.org/drawingml/2006/picture">
                  <wp:extent cx="6035040" cy="2414016"/>
                  <wp:docPr id="2" name="Picture 2"/>
                  <wp:cNvGraphicFramePr>
                    <a:graphicFrameLocks noChangeAspect="1"/>
                  </wp:cNvGraphicFramePr>
                  <a:graphic>
                    <a:graphicData uri="http://schemas.openxmlformats.org/drawingml/2006/picture">
                      <pic:pic>
                        <pic:nvPicPr>
                          <pic:cNvPr id="0" name="fig_modelo.png"/>
                          <pic:cNvPicPr/>
                        </pic:nvPicPr>
                        <pic:blipFill>
                          <a:blip r:embed="rId10"/>
                          <a:stretch>
                            <a:fillRect/>
                          </a:stretch>
                        </pic:blipFill>
                        <pic:spPr>
                          <a:xfrm>
                            <a:off x="0" y="0"/>
                            <a:ext cx="6035040" cy="2414016"/>
                          </a:xfrm>
                          <a:prstGeom prst="rect"/>
                        </pic:spPr>
                      </pic:pic>
                    </a:graphicData>
                  </a:graphic>
                </wp:inline>
              </w:drawing>
            </w:r>
          </w:p>
          <w:p>
            <w:pPr>
              <w:keepNext w:val="0"/>
              <w:widowControl/>
              <w:spacing w:before="0" w:after="0" w:line="240" w:lineRule="auto"/>
              <w:jc w:val="both"/>
            </w:pPr>
            <w:r>
              <w:rPr>
                <w:rFonts w:ascii="Times New Roman" w:hAnsi="Times New Roman" w:cs="Times New Roman" w:eastAsia="Times New Roman"/>
                <w:sz w:val="16"/>
              </w:rPr>
              <w:t xml:space="preserve">Fig. 2.  </w:t>
            </w:r>
            <w:r>
              <w:rPr>
                <w:rFonts w:ascii="Times New Roman" w:hAnsi="Times New Roman" w:cs="Times New Roman" w:eastAsia="Times New Roman"/>
                <w:b w:val="0"/>
                <w:i w:val="0"/>
                <w:smallCaps w:val="0"/>
                <w:sz w:val="16"/>
              </w:rPr>
              <w:t>Diagrama de bloques del modelo, como está en models/backbone.py y models/heads.py. En cada etapa el CBAM actúa después del MaxPool, así que las tres cabezas leen mapas que ya pasaron por él. Tensores en canales × alto × ancho; entre paréntesis, parámetros de cada bloque.</w:t>
            </w:r>
          </w:p>
        </w:tc>
      </w:tr>
    </w:tbl>
    <w:p>
      <w:pPr>
        <w:keepNext w:val="0"/>
        <w:widowControl/>
        <w:spacing w:before="0" w:after="0" w:line="240" w:lineRule="auto"/>
        <w:jc w:val="both"/>
      </w:pPr>
      <w:r>
        <w:rPr>
          <w:rFonts w:ascii="Times New Roman" w:hAnsi="Times New Roman" w:cs="Times New Roman" w:eastAsia="Times New Roman"/>
          <w:b w:val="0"/>
          <w:i w:val="0"/>
          <w:smallCaps w:val="0"/>
          <w:sz w:val="20"/>
        </w:rPr>
        <w:t xml:space="preserve">Los λ no se copiaron de otra implementación: se calibraron por norma de gradiente, en la idea de GradNorm [8]. En 200 iteraciones con λ = 1 se midió </w:t>
      </w:r>
      <w:r>
        <w:rPr>
          <w:rFonts w:ascii="Times New Roman" w:hAnsi="Times New Roman" w:cs="Times New Roman" w:eastAsia="Times New Roman"/>
          <w:b w:val="0"/>
          <w:i/>
          <w:smallCaps w:val="0"/>
          <w:sz w:val="20"/>
        </w:rPr>
        <w:t>G</w:t>
      </w:r>
      <w:r>
        <w:rPr>
          <w:rFonts w:ascii="Times New Roman" w:hAnsi="Times New Roman" w:cs="Times New Roman" w:eastAsia="Times New Roman"/>
          <w:b w:val="0"/>
          <w:i w:val="0"/>
          <w:smallCaps w:val="0"/>
          <w:sz w:val="20"/>
          <w:vertAlign w:val="subscript"/>
        </w:rPr>
        <w:t>k</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L</w:t>
      </w:r>
      <w:r>
        <w:rPr>
          <w:rFonts w:ascii="Times New Roman" w:hAnsi="Times New Roman" w:cs="Times New Roman" w:eastAsia="Times New Roman"/>
          <w:b w:val="0"/>
          <w:i w:val="0"/>
          <w:smallCaps w:val="0"/>
          <w:sz w:val="20"/>
          <w:vertAlign w:val="subscript"/>
        </w:rPr>
        <w:t>k</w:t>
      </w:r>
      <w:r>
        <w:rPr>
          <w:rFonts w:ascii="Times New Roman" w:hAnsi="Times New Roman" w:cs="Times New Roman" w:eastAsia="Times New Roman"/>
          <w:b w:val="0"/>
          <w:i w:val="0"/>
          <w:smallCaps w:val="0"/>
          <w:sz w:val="20"/>
        </w:rPr>
        <w:t>‖ sobre la etapa 4, la última capa compartida (</w:t>
      </w:r>
      <w:r>
        <w:rPr>
          <w:rFonts w:ascii="Times New Roman" w:hAnsi="Times New Roman" w:cs="Times New Roman" w:eastAsia="Times New Roman"/>
          <w:b w:val="0"/>
          <w:i/>
          <w:smallCaps w:val="0"/>
          <w:sz w:val="20"/>
        </w:rPr>
        <w:t>G</w:t>
      </w:r>
      <w:r>
        <w:rPr>
          <w:rFonts w:ascii="Times New Roman" w:hAnsi="Times New Roman" w:cs="Times New Roman" w:eastAsia="Times New Roman"/>
          <w:b w:val="0"/>
          <w:i w:val="0"/>
          <w:smallCaps w:val="0"/>
          <w:sz w:val="20"/>
        </w:rPr>
        <w:t xml:space="preserve"> = 0,130; 0,097; 0,068), y se fijó λ</w:t>
      </w:r>
      <w:r>
        <w:rPr>
          <w:rFonts w:ascii="Times New Roman" w:hAnsi="Times New Roman" w:cs="Times New Roman" w:eastAsia="Times New Roman"/>
          <w:b w:val="0"/>
          <w:i w:val="0"/>
          <w:smallCaps w:val="0"/>
          <w:sz w:val="20"/>
          <w:vertAlign w:val="subscript"/>
        </w:rPr>
        <w:t>k</w:t>
      </w:r>
      <w:r>
        <w:rPr>
          <w:rFonts w:ascii="Times New Roman" w:hAnsi="Times New Roman" w:cs="Times New Roman" w:eastAsia="Times New Roman"/>
          <w:b w:val="0"/>
          <w:i w:val="0"/>
          <w:smallCaps w:val="0"/>
          <w:sz w:val="20"/>
        </w:rPr>
        <w:t xml:space="preserve"> ∝ 1/</w:t>
      </w:r>
      <w:r>
        <w:rPr>
          <w:rFonts w:ascii="Times New Roman" w:hAnsi="Times New Roman" w:cs="Times New Roman" w:eastAsia="Times New Roman"/>
          <w:b w:val="0"/>
          <w:i/>
          <w:smallCaps w:val="0"/>
          <w:sz w:val="20"/>
        </w:rPr>
        <w:t>G</w:t>
      </w:r>
      <w:r>
        <w:rPr>
          <w:rFonts w:ascii="Times New Roman" w:hAnsi="Times New Roman" w:cs="Times New Roman" w:eastAsia="Times New Roman"/>
          <w:b w:val="0"/>
          <w:i w:val="0"/>
          <w:smallCaps w:val="0"/>
          <w:sz w:val="20"/>
          <w:vertAlign w:val="subscript"/>
        </w:rPr>
        <w:t>k</w:t>
      </w:r>
      <w:r>
        <w:rPr>
          <w:rFonts w:ascii="Times New Roman" w:hAnsi="Times New Roman" w:cs="Times New Roman" w:eastAsia="Times New Roman"/>
          <w:b w:val="0"/>
          <w:i w:val="0"/>
          <w:smallCaps w:val="0"/>
          <w:sz w:val="20"/>
        </w:rPr>
        <w:t xml:space="preserve"> con Σλ = 3. Se entrenó con AdamW [9] (lr 3·10</w:t>
      </w:r>
      <w:r>
        <w:rPr>
          <w:rFonts w:ascii="Times New Roman" w:hAnsi="Times New Roman" w:cs="Times New Roman" w:eastAsia="Times New Roman"/>
          <w:b w:val="0"/>
          <w:i w:val="0"/>
          <w:smallCaps w:val="0"/>
          <w:sz w:val="20"/>
          <w:vertAlign w:val="superscript"/>
        </w:rPr>
        <w:t>−4</w:t>
      </w:r>
      <w:r>
        <w:rPr>
          <w:rFonts w:ascii="Times New Roman" w:hAnsi="Times New Roman" w:cs="Times New Roman" w:eastAsia="Times New Roman"/>
          <w:b w:val="0"/>
          <w:i w:val="0"/>
          <w:smallCaps w:val="0"/>
          <w:sz w:val="20"/>
        </w:rPr>
        <w:t>, coseno), batch 8, precisión mixta, 40 épocas, Dropout2d 0,1 y aumentación geométrica y de intensidad sin volteo, que cambiaría izquierda por derecha. Como prueba de correctitud fijada de antemano, la red memorizó 8 cortes en 500 pasos (pérdida −98,8 %, Dice 0,992, mAP@0,5 1,00).</w:t>
      </w:r>
    </w:p>
    <w:p>
      <w:pPr>
        <w:keepNext w:val="0"/>
        <w:widowControl/>
        <w:spacing w:before="0" w:after="0" w:line="240" w:lineRule="auto"/>
        <w:ind w:firstLine="202"/>
        <w:jc w:val="both"/>
      </w:pPr>
      <w:r>
        <w:rPr>
          <w:rFonts w:ascii="Times New Roman" w:hAnsi="Times New Roman" w:cs="Times New Roman" w:eastAsia="Times New Roman"/>
          <w:b w:val="0"/>
          <w:i w:val="0"/>
          <w:smallCaps w:val="0"/>
          <w:sz w:val="20"/>
        </w:rPr>
        <w:t>En inferencia cada corte se predice cinco veces (identidad, escala 0,92 y 1,08, rotación ±8°) y se promedian región y borde (TTA) [10]; cajas y clasificación salen de la pasada sin transformar. En la segunda etapa, por hueso, el núcleo es la región con P(borde) &lt; 0,1; las semillas son las zonas a más de 5 mm del borde del núcleo según la EDT 3D con el spacing del vóxel [11], más las h-máximas (</w:t>
      </w:r>
      <w:r>
        <w:rPr>
          <w:rFonts w:ascii="Times New Roman" w:hAnsi="Times New Roman" w:cs="Times New Roman" w:eastAsia="Times New Roman"/>
          <w:b w:val="0"/>
          <w:i/>
          <w:smallCaps w:val="0"/>
          <w:sz w:val="20"/>
        </w:rPr>
        <w:t>h</w:t>
      </w:r>
      <w:r>
        <w:rPr>
          <w:rFonts w:ascii="Times New Roman" w:hAnsi="Times New Roman" w:cs="Times New Roman" w:eastAsia="Times New Roman"/>
          <w:b w:val="0"/>
          <w:i w:val="0"/>
          <w:smallCaps w:val="0"/>
          <w:sz w:val="20"/>
        </w:rPr>
        <w:t xml:space="preserve"> = 1,5 mm) que no caen en ninguna zona profunda; un watershed reparte el resto y el mayor fragmento es el principal. La distancia de cada secundario </w:t>
      </w:r>
      <w:r>
        <w:rPr>
          <w:rFonts w:ascii="Times New Roman" w:hAnsi="Times New Roman" w:cs="Times New Roman" w:eastAsia="Times New Roman"/>
          <w:b w:val="0"/>
          <w:i/>
          <w:smallCaps w:val="0"/>
          <w:sz w:val="20"/>
        </w:rPr>
        <w:t>S</w:t>
      </w:r>
      <w:r>
        <w:rPr>
          <w:rFonts w:ascii="Times New Roman" w:hAnsi="Times New Roman" w:cs="Times New Roman" w:eastAsia="Times New Roman"/>
          <w:b w:val="0"/>
          <w:i w:val="0"/>
          <w:smallCaps w:val="0"/>
          <w:sz w:val="20"/>
        </w:rPr>
        <w:t xml:space="preserve"> a su principal </w:t>
      </w:r>
      <w:r>
        <w:rPr>
          <w:rFonts w:ascii="Times New Roman" w:hAnsi="Times New Roman" w:cs="Times New Roman" w:eastAsia="Times New Roman"/>
          <w:b w:val="0"/>
          <w:i/>
          <w:smallCaps w:val="0"/>
          <w:sz w:val="20"/>
        </w:rPr>
        <w:t>P</w:t>
      </w:r>
      <w:r>
        <w:rPr>
          <w:rFonts w:ascii="Times New Roman" w:hAnsi="Times New Roman" w:cs="Times New Roman" w:eastAsia="Times New Roman"/>
          <w:b w:val="0"/>
          <w:i w:val="0"/>
          <w:smallCaps w:val="0"/>
          <w:sz w:val="20"/>
        </w:rPr>
        <w:t xml:space="preserve"> es</w:t>
      </w:r>
    </w:p>
    <w:p>
      <w:pPr>
        <w:keepNext w:val="0"/>
        <w:widowControl/>
        <w:tabs>
          <w:tab w:pos="2524" w:val="center"/>
          <w:tab w:pos="5033" w:val="right"/>
        </w:tabs>
        <w:spacing w:before="60" w:after="60" w:line="240" w:lineRule="auto"/>
        <w:jc w:val="left"/>
      </w:pPr>
      <w:r>
        <w:rPr>
          <w:rFonts w:ascii="Times New Roman" w:hAnsi="Times New Roman" w:cs="Times New Roman" w:eastAsia="Times New Roman"/>
          <w:b w:val="0"/>
          <w:i w:val="0"/>
          <w:smallCaps w:val="0"/>
          <w:sz w:val="19"/>
        </w:rPr>
        <w:tab/>
      </w:r>
      <w:r>
        <w:rPr>
          <w:rFonts w:ascii="Times New Roman" w:hAnsi="Times New Roman" w:cs="Times New Roman" w:eastAsia="Times New Roman"/>
          <w:b w:val="0"/>
          <w:i/>
          <w:smallCaps w:val="0"/>
          <w:sz w:val="19"/>
        </w:rPr>
        <w:t>d</w:t>
      </w:r>
      <w:r>
        <w:rPr>
          <w:rFonts w:ascii="Times New Roman" w:hAnsi="Times New Roman" w:cs="Times New Roman" w:eastAsia="Times New Roman"/>
          <w:b w:val="0"/>
          <w:i w:val="0"/>
          <w:smallCaps w:val="0"/>
          <w:sz w:val="19"/>
        </w:rPr>
        <w:t>(</w:t>
      </w:r>
      <w:r>
        <w:rPr>
          <w:rFonts w:ascii="Times New Roman" w:hAnsi="Times New Roman" w:cs="Times New Roman" w:eastAsia="Times New Roman"/>
          <w:b w:val="0"/>
          <w:i/>
          <w:smallCaps w:val="0"/>
          <w:sz w:val="19"/>
        </w:rPr>
        <w:t>S</w:t>
      </w:r>
      <w:r>
        <w:rPr>
          <w:rFonts w:ascii="Times New Roman" w:hAnsi="Times New Roman" w:cs="Times New Roman" w:eastAsia="Times New Roman"/>
          <w:b w:val="0"/>
          <w:i w:val="0"/>
          <w:smallCaps w:val="0"/>
          <w:sz w:val="19"/>
        </w:rPr>
        <w:t>) = min</w:t>
      </w:r>
      <w:r>
        <w:rPr>
          <w:rFonts w:ascii="Times New Roman" w:hAnsi="Times New Roman" w:cs="Times New Roman" w:eastAsia="Times New Roman"/>
          <w:b w:val="0"/>
          <w:i w:val="0"/>
          <w:smallCaps w:val="0"/>
          <w:sz w:val="19"/>
          <w:vertAlign w:val="subscript"/>
        </w:rPr>
        <w:t>x∈S</w:t>
      </w:r>
      <w:r>
        <w:rPr>
          <w:rFonts w:ascii="Times New Roman" w:hAnsi="Times New Roman" w:cs="Times New Roman" w:eastAsia="Times New Roman"/>
          <w:b w:val="0"/>
          <w:i w:val="0"/>
          <w:smallCaps w:val="0"/>
          <w:sz w:val="19"/>
        </w:rPr>
        <w:t xml:space="preserve"> EDT</w:t>
      </w:r>
      <w:r>
        <w:rPr>
          <w:rFonts w:ascii="Times New Roman" w:hAnsi="Times New Roman" w:cs="Times New Roman" w:eastAsia="Times New Roman"/>
          <w:b w:val="0"/>
          <w:i w:val="0"/>
          <w:smallCaps w:val="0"/>
          <w:sz w:val="19"/>
          <w:vertAlign w:val="subscript"/>
        </w:rPr>
        <w:t>¬P</w:t>
      </w:r>
      <w:r>
        <w:rPr>
          <w:rFonts w:ascii="Times New Roman" w:hAnsi="Times New Roman" w:cs="Times New Roman" w:eastAsia="Times New Roman"/>
          <w:b w:val="0"/>
          <w:i w:val="0"/>
          <w:smallCaps w:val="0"/>
          <w:sz w:val="19"/>
        </w:rPr>
        <w:t>(</w:t>
      </w:r>
      <w:r>
        <w:rPr>
          <w:rFonts w:ascii="Times New Roman" w:hAnsi="Times New Roman" w:cs="Times New Roman" w:eastAsia="Times New Roman"/>
          <w:b w:val="0"/>
          <w:i/>
          <w:smallCaps w:val="0"/>
          <w:sz w:val="19"/>
        </w:rPr>
        <w:t>x</w:t>
      </w:r>
      <w:r>
        <w:rPr>
          <w:rFonts w:ascii="Times New Roman" w:hAnsi="Times New Roman" w:cs="Times New Roman" w:eastAsia="Times New Roman"/>
          <w:b w:val="0"/>
          <w:i w:val="0"/>
          <w:smallCaps w:val="0"/>
          <w:sz w:val="19"/>
        </w:rPr>
        <w:t xml:space="preserve">),  contacto ⇔ </w:t>
      </w:r>
      <w:r>
        <w:rPr>
          <w:rFonts w:ascii="Times New Roman" w:hAnsi="Times New Roman" w:cs="Times New Roman" w:eastAsia="Times New Roman"/>
          <w:b w:val="0"/>
          <w:i/>
          <w:smallCaps w:val="0"/>
          <w:sz w:val="19"/>
        </w:rPr>
        <w:t>d</w:t>
      </w:r>
      <w:r>
        <w:rPr>
          <w:rFonts w:ascii="Times New Roman" w:hAnsi="Times New Roman" w:cs="Times New Roman" w:eastAsia="Times New Roman"/>
          <w:b w:val="0"/>
          <w:i w:val="0"/>
          <w:smallCaps w:val="0"/>
          <w:sz w:val="19"/>
        </w:rPr>
        <w:t xml:space="preserve"> ≤ (</w:t>
      </w:r>
      <w:r>
        <w:rPr>
          <w:rFonts w:ascii="Times New Roman" w:hAnsi="Times New Roman" w:cs="Times New Roman" w:eastAsia="Times New Roman"/>
          <w:b w:val="0"/>
          <w:i/>
          <w:smallCaps w:val="0"/>
          <w:sz w:val="19"/>
        </w:rPr>
        <w:t>dz</w:t>
      </w:r>
      <w:r>
        <w:rPr>
          <w:rFonts w:ascii="Times New Roman" w:hAnsi="Times New Roman" w:cs="Times New Roman" w:eastAsia="Times New Roman"/>
          <w:b w:val="0"/>
          <w:i w:val="0"/>
          <w:smallCaps w:val="0"/>
          <w:sz w:val="19"/>
          <w:vertAlign w:val="superscript"/>
        </w:rPr>
        <w:t>2</w:t>
      </w:r>
      <w:r>
        <w:rPr>
          <w:rFonts w:ascii="Times New Roman" w:hAnsi="Times New Roman" w:cs="Times New Roman" w:eastAsia="Times New Roman"/>
          <w:b w:val="0"/>
          <w:i w:val="0"/>
          <w:smallCaps w:val="0"/>
          <w:sz w:val="19"/>
        </w:rPr>
        <w:t>+</w:t>
      </w:r>
      <w:r>
        <w:rPr>
          <w:rFonts w:ascii="Times New Roman" w:hAnsi="Times New Roman" w:cs="Times New Roman" w:eastAsia="Times New Roman"/>
          <w:b w:val="0"/>
          <w:i/>
          <w:smallCaps w:val="0"/>
          <w:sz w:val="19"/>
        </w:rPr>
        <w:t>dy</w:t>
      </w:r>
      <w:r>
        <w:rPr>
          <w:rFonts w:ascii="Times New Roman" w:hAnsi="Times New Roman" w:cs="Times New Roman" w:eastAsia="Times New Roman"/>
          <w:b w:val="0"/>
          <w:i w:val="0"/>
          <w:smallCaps w:val="0"/>
          <w:sz w:val="19"/>
          <w:vertAlign w:val="superscript"/>
        </w:rPr>
        <w:t>2</w:t>
      </w:r>
      <w:r>
        <w:rPr>
          <w:rFonts w:ascii="Times New Roman" w:hAnsi="Times New Roman" w:cs="Times New Roman" w:eastAsia="Times New Roman"/>
          <w:b w:val="0"/>
          <w:i w:val="0"/>
          <w:smallCaps w:val="0"/>
          <w:sz w:val="19"/>
        </w:rPr>
        <w:t>+</w:t>
      </w:r>
      <w:r>
        <w:rPr>
          <w:rFonts w:ascii="Times New Roman" w:hAnsi="Times New Roman" w:cs="Times New Roman" w:eastAsia="Times New Roman"/>
          <w:b w:val="0"/>
          <w:i/>
          <w:smallCaps w:val="0"/>
          <w:sz w:val="19"/>
        </w:rPr>
        <w:t>dx</w:t>
      </w:r>
      <w:r>
        <w:rPr>
          <w:rFonts w:ascii="Times New Roman" w:hAnsi="Times New Roman" w:cs="Times New Roman" w:eastAsia="Times New Roman"/>
          <w:b w:val="0"/>
          <w:i w:val="0"/>
          <w:smallCaps w:val="0"/>
          <w:sz w:val="19"/>
          <w:vertAlign w:val="superscript"/>
        </w:rPr>
        <w:t>2</w:t>
      </w:r>
      <w:r>
        <w:rPr>
          <w:rFonts w:ascii="Times New Roman" w:hAnsi="Times New Roman" w:cs="Times New Roman" w:eastAsia="Times New Roman"/>
          <w:b w:val="0"/>
          <w:i w:val="0"/>
          <w:smallCaps w:val="0"/>
          <w:sz w:val="19"/>
        </w:rPr>
        <w:t>)</w:t>
      </w:r>
      <w:r>
        <w:rPr>
          <w:rFonts w:ascii="Times New Roman" w:hAnsi="Times New Roman" w:cs="Times New Roman" w:eastAsia="Times New Roman"/>
          <w:b w:val="0"/>
          <w:i w:val="0"/>
          <w:smallCaps w:val="0"/>
          <w:sz w:val="19"/>
          <w:vertAlign w:val="superscript"/>
        </w:rPr>
        <w:t>1/2</w:t>
      </w:r>
      <w:r>
        <w:rPr>
          <w:rFonts w:ascii="Times New Roman" w:hAnsi="Times New Roman" w:cs="Times New Roman" w:eastAsia="Times New Roman"/>
          <w:b w:val="0"/>
          <w:i w:val="0"/>
          <w:smallCaps w:val="0"/>
          <w:sz w:val="19"/>
        </w:rPr>
        <w:t>,</w:t>
        <w:tab/>
      </w:r>
      <w:r>
        <w:rPr>
          <w:rFonts w:ascii="Times New Roman" w:hAnsi="Times New Roman" w:cs="Times New Roman" w:eastAsia="Times New Roman"/>
          <w:sz w:val="19"/>
        </w:rPr>
        <w:t>(3)</w:t>
      </w:r>
    </w:p>
    <w:p>
      <w:pPr>
        <w:keepNext w:val="0"/>
        <w:widowControl/>
        <w:spacing w:before="0" w:after="0" w:line="240" w:lineRule="auto"/>
        <w:jc w:val="both"/>
      </w:pPr>
      <w:r>
        <w:rPr>
          <w:rFonts w:ascii="Times New Roman" w:hAnsi="Times New Roman" w:cs="Times New Roman" w:eastAsia="Times New Roman"/>
          <w:b w:val="0"/>
          <w:i w:val="0"/>
          <w:smallCaps w:val="0"/>
          <w:sz w:val="20"/>
        </w:rPr>
        <w:t>medida igual en la predicción y en la referencia.</w:t>
      </w:r>
    </w:p>
    <w:p>
      <w:pPr>
        <w:keepNext/>
        <w:widowControl/>
        <w:spacing w:before="120" w:after="40" w:line="240" w:lineRule="auto"/>
        <w:jc w:val="center"/>
      </w:pPr>
      <w:r>
        <w:rPr>
          <w:rFonts w:ascii="Times New Roman" w:hAnsi="Times New Roman" w:cs="Times New Roman" w:eastAsia="Times New Roman"/>
          <w:b w:val="0"/>
          <w:i w:val="0"/>
          <w:smallCaps/>
          <w:sz w:val="20"/>
        </w:rPr>
        <w:t>IV. Protocolo: primero se mide el ruido</w:t>
      </w:r>
    </w:p>
    <w:p>
      <w:pPr>
        <w:keepNext w:val="0"/>
        <w:widowControl/>
        <w:spacing w:before="0" w:after="0" w:line="240" w:lineRule="auto"/>
        <w:ind w:firstLine="202"/>
        <w:jc w:val="both"/>
      </w:pPr>
      <w:r>
        <w:rPr>
          <w:rFonts w:ascii="Times New Roman" w:hAnsi="Times New Roman" w:cs="Times New Roman" w:eastAsia="Times New Roman"/>
          <w:b w:val="0"/>
          <w:i w:val="0"/>
          <w:smallCaps w:val="0"/>
          <w:sz w:val="20"/>
        </w:rPr>
        <w:t>Dice e IoU por fragmento se calculan en 3D emparejando dentro de cada hueso con la asignación húngara; un real sin pareja cuenta como 0. Antes de comparar variantes se midió cuánto se mueve esa métrica solo por la semilla, y con eso se fijaron las reglas de la Tabla I. Durante el ajuste el test no se usó. Antes, dos decisiones sí lo miraron y se declaran: la época entregada de v2 (la última: mAP@[0,5:0,95] 0,864 contra 0,848 de la mejor en validación, igual Dice por fragmento) y el diagnóstico que llevó a separar por distancia, cuyo parámetro se eligió luego en validación.</w:t>
      </w:r>
    </w:p>
    <w:p>
      <w:pPr>
        <w:keepNext/>
        <w:widowControl/>
        <w:spacing w:before="120" w:after="0" w:line="240" w:lineRule="auto"/>
        <w:jc w:val="center"/>
      </w:pPr>
      <w:r>
        <w:rPr>
          <w:rFonts w:ascii="Times New Roman" w:hAnsi="Times New Roman" w:cs="Times New Roman" w:eastAsia="Times New Roman"/>
          <w:b w:val="0"/>
          <w:i w:val="0"/>
          <w:smallCaps/>
          <w:sz w:val="16"/>
        </w:rPr>
        <w:t>Tabla I</w:t>
      </w:r>
    </w:p>
    <w:p>
      <w:pPr>
        <w:keepNext/>
        <w:widowControl/>
        <w:spacing w:before="0" w:after="40" w:line="240" w:lineRule="auto"/>
        <w:jc w:val="center"/>
      </w:pPr>
      <w:r>
        <w:rPr>
          <w:rFonts w:ascii="Times New Roman" w:hAnsi="Times New Roman" w:cs="Times New Roman" w:eastAsia="Times New Roman"/>
          <w:b w:val="0"/>
          <w:i w:val="0"/>
          <w:smallCaps/>
          <w:sz w:val="16"/>
        </w:rPr>
        <w:t>Medición del ruido de semilla (Dice por fragmento)</w:t>
      </w:r>
    </w:p>
    <w:tbl>
      <w:tblPr>
        <w:jc w:val="center"/>
        <w:tblLayout w:type="fixed"/>
        <w:tblLook w:firstColumn="1" w:firstRow="1" w:lastColumn="0" w:lastRow="0" w:noHBand="0" w:noVBand="1" w:val="04A0"/>
        <w:tblLayout w:type="fixed"/>
        <w:tblW w:w="5040" w:type="dxa"/>
        <w:tblBorders>
          <w:top w:val="single" w:sz="8" w:space="0" w:color="000000"/>
          <w:left w:val="nil"/>
          <w:bottom w:val="single" w:sz="8" w:space="0" w:color="000000"/>
          <w:right w:val="nil"/>
          <w:insideH w:val="nil"/>
          <w:insideV w:val="nil"/>
        </w:tblBorders>
        <w:tblCellMar>
          <w:top w:w="0" w:type="dxa"/>
          <w:left w:w="45" w:type="dxa"/>
          <w:bottom w:w="0" w:type="dxa"/>
          <w:right w:w="45" w:type="dxa"/>
        </w:tblCellMar>
      </w:tblPr>
      <w:tblGrid>
        <w:gridCol w:w="1872"/>
        <w:gridCol w:w="1800"/>
        <w:gridCol w:w="1368"/>
      </w:tblGrid>
      <w:tr>
        <w:trPr>
          <w:cantSplit/>
          <w:tblHeader/>
        </w:trPr>
        <w:tc>
          <w:tcPr>
            <w:tcW w:type="dxa" w:w="1872"/>
            <w:tcBorders>
              <w:bottom w:val="single" w:sz="4" w:space="0" w:color="000000"/>
            </w:tcBorders>
            <w:vAlign w:val="center"/>
          </w:tcPr>
          <w:p>
            <w:pPr>
              <w:keepNext/>
              <w:widowControl/>
              <w:spacing w:before="10" w:after="10" w:lineRule="exact" w:line="164"/>
              <w:jc w:val="left"/>
            </w:pPr>
            <w:r>
              <w:rPr>
                <w:rFonts w:ascii="Times New Roman" w:hAnsi="Times New Roman" w:cs="Times New Roman" w:eastAsia="Times New Roman"/>
                <w:b/>
                <w:i w:val="0"/>
                <w:smallCaps w:val="0"/>
                <w:sz w:val="13"/>
              </w:rPr>
              <w:t>Medición</w:t>
            </w:r>
          </w:p>
        </w:tc>
        <w:tc>
          <w:tcPr>
            <w:tcW w:type="dxa" w:w="1800"/>
            <w:tcBorders>
              <w:bottom w:val="single" w:sz="4" w:space="0" w:color="000000"/>
            </w:tcBorders>
            <w:vAlign w:val="center"/>
          </w:tcPr>
          <w:p>
            <w:pPr>
              <w:keepNext/>
              <w:widowControl/>
              <w:spacing w:before="10" w:after="10" w:lineRule="exact" w:line="164"/>
              <w:jc w:val="left"/>
            </w:pPr>
            <w:r>
              <w:rPr>
                <w:rFonts w:ascii="Times New Roman" w:hAnsi="Times New Roman" w:cs="Times New Roman" w:eastAsia="Times New Roman"/>
                <w:b/>
                <w:i w:val="0"/>
                <w:smallCaps w:val="0"/>
                <w:sz w:val="13"/>
              </w:rPr>
              <w:t>Resultado</w:t>
            </w:r>
          </w:p>
        </w:tc>
        <w:tc>
          <w:tcPr>
            <w:tcW w:type="dxa" w:w="1368"/>
            <w:tcBorders>
              <w:bottom w:val="single" w:sz="4" w:space="0" w:color="000000"/>
            </w:tcBorders>
            <w:vAlign w:val="center"/>
          </w:tcPr>
          <w:p>
            <w:pPr>
              <w:keepNext/>
              <w:widowControl/>
              <w:spacing w:before="10" w:after="10" w:lineRule="exact" w:line="164"/>
              <w:jc w:val="left"/>
            </w:pPr>
            <w:r>
              <w:rPr>
                <w:rFonts w:ascii="Times New Roman" w:hAnsi="Times New Roman" w:cs="Times New Roman" w:eastAsia="Times New Roman"/>
                <w:b/>
                <w:i w:val="0"/>
                <w:smallCaps w:val="0"/>
                <w:sz w:val="13"/>
              </w:rPr>
              <w:t>Regla que fija</w:t>
            </w:r>
          </w:p>
        </w:tc>
      </w:tr>
      <w:tr>
        <w:trPr>
          <w:cantSplit/>
        </w:trPr>
        <w:tc>
          <w:tcPr>
            <w:tcW w:type="dxa" w:w="1872"/>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Cribado: fold 0, 12 ép., semillas 42, 1337, 2024, 7</w:t>
            </w:r>
          </w:p>
        </w:tc>
        <w:tc>
          <w:tcPr>
            <w:tcW w:type="dxa" w:w="1800"/>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0,6925; 0,6700; 0,6770; 0,6746: σ = 0,0097</w:t>
            </w:r>
          </w:p>
        </w:tc>
        <w:tc>
          <w:tcPr>
            <w:tcW w:type="dxa" w:w="1368"/>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|Δ| &lt; 2σ = 0,0195 es ruido</w:t>
            </w:r>
          </w:p>
        </w:tc>
      </w:tr>
      <w:tr>
        <w:trPr>
          <w:cantSplit/>
        </w:trPr>
        <w:tc>
          <w:tcPr>
            <w:tcW w:type="dxa" w:w="1872"/>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Confirmación: 5 folds, 20 ép., semilla 1337 vs 42</w:t>
            </w:r>
          </w:p>
        </w:tc>
        <w:tc>
          <w:tcPr>
            <w:tcW w:type="dxa" w:w="1800"/>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Δ −0,0007; t −0,12; desv. por fold 0,013</w:t>
            </w:r>
          </w:p>
        </w:tc>
        <w:tc>
          <w:tcPr>
            <w:tcW w:type="dxa" w:w="1368"/>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|t| &gt; 2,78 (4 gl), ≥ 4/5 folds</w:t>
            </w:r>
          </w:p>
        </w:tc>
      </w:tr>
      <w:tr>
        <w:trPr>
          <w:cantSplit/>
        </w:trPr>
        <w:tc>
          <w:tcPr>
            <w:tcW w:type="dxa" w:w="1872"/>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Semana 11: 4 semillas + control (0,6819)</w:t>
            </w:r>
          </w:p>
        </w:tc>
        <w:tc>
          <w:tcPr>
            <w:tcW w:type="dxa" w:w="1800"/>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μ = 0,6792; σ = 0,0086</w:t>
            </w:r>
          </w:p>
        </w:tc>
        <w:tc>
          <w:tcPr>
            <w:tcW w:type="dxa" w:w="1368"/>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Dice ≥ μ + 2σ = 0,6964</w:t>
            </w:r>
          </w:p>
        </w:tc>
      </w:tr>
      <w:tr>
        <w:trPr>
          <w:cantSplit/>
        </w:trPr>
        <w:tc>
          <w:tcPr>
            <w:tcW w:type="dxa" w:w="1872"/>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Afinado por etapas (regla previa)</w:t>
            </w:r>
          </w:p>
        </w:tc>
        <w:tc>
          <w:tcPr>
            <w:tcW w:type="dxa" w:w="1800"/>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w:t>
            </w:r>
          </w:p>
        </w:tc>
        <w:tc>
          <w:tcPr>
            <w:tcW w:type="dxa" w:w="1368"/>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Δ ≥ 0,026, t &gt; 2,776, ≥ 4/5</w:t>
            </w:r>
          </w:p>
        </w:tc>
      </w:tr>
    </w:tbl>
    <w:p>
      <w:pPr>
        <w:keepNext w:val="0"/>
        <w:widowControl/>
        <w:spacing w:before="0" w:after="60" w:lineRule="exact" w:line="80"/>
        <w:jc w:val="left"/>
      </w:pPr>
    </w:p>
    <w:p>
      <w:pPr>
        <w:keepNext/>
        <w:widowControl/>
        <w:spacing w:before="120" w:after="40" w:line="240" w:lineRule="auto"/>
        <w:jc w:val="center"/>
      </w:pPr>
      <w:r>
        <w:rPr>
          <w:rFonts w:ascii="Times New Roman" w:hAnsi="Times New Roman" w:cs="Times New Roman" w:eastAsia="Times New Roman"/>
          <w:b w:val="0"/>
          <w:i w:val="0"/>
          <w:smallCaps/>
          <w:sz w:val="20"/>
        </w:rPr>
        <w:t>V. Qué se probó y por qué se descartó</w:t>
      </w:r>
    </w:p>
    <w:p>
      <w:pPr>
        <w:keepNext/>
        <w:widowControl/>
        <w:spacing w:before="60" w:after="20" w:line="240" w:lineRule="auto"/>
        <w:jc w:val="left"/>
      </w:pPr>
      <w:r>
        <w:rPr>
          <w:rFonts w:ascii="Times New Roman" w:hAnsi="Times New Roman" w:cs="Times New Roman" w:eastAsia="Times New Roman"/>
          <w:b w:val="0"/>
          <w:i/>
          <w:smallCaps w:val="0"/>
          <w:sz w:val="20"/>
        </w:rPr>
        <w:t>A. Dónde está el error</w:t>
      </w:r>
    </w:p>
    <w:p>
      <w:pPr>
        <w:keepNext w:val="0"/>
        <w:widowControl/>
        <w:spacing w:before="0" w:after="0" w:line="240" w:lineRule="auto"/>
        <w:ind w:firstLine="202"/>
        <w:jc w:val="both"/>
      </w:pPr>
      <w:r>
        <w:rPr>
          <w:rFonts w:ascii="Times New Roman" w:hAnsi="Times New Roman" w:cs="Times New Roman" w:eastAsia="Times New Roman"/>
          <w:b w:val="0"/>
          <w:i w:val="0"/>
          <w:smallCaps w:val="0"/>
          <w:sz w:val="20"/>
        </w:rPr>
        <w:t>Separar quitando de la región los píxeles de borde recuperaba el 12,8 % de los secundarios en test. Al reemplazar por la referencia, por separado, la región y el borde predichos (Tabla II), el borde real sube el Dice por fragmento de 0,745 a 0,902 y la región real solo a 0,770. La cabeza de borde marca el 16 % de la superficie de fractura (umbral 0,2) y bajar el umbral casi no sube ese recall. De ahí la separación por distancia: una grieta o un puente delgado nunca tiene vóxeles a más de 5 mm del borde del núcleo, así que separa aunque la red rellene la grieta. En validación 5 mm fue la mejor profundidad (67,3 % de secundarios; 4 mm, 61,3 %; 6 mm, 59,5 %) y la CV lo confirmó: +0,247 frente a separar solo por el borde.</w:t>
      </w:r>
    </w:p>
    <w:p>
      <w:pPr>
        <w:keepNext/>
        <w:widowControl/>
        <w:spacing w:before="120" w:after="0" w:line="240" w:lineRule="auto"/>
        <w:jc w:val="center"/>
      </w:pPr>
      <w:r>
        <w:rPr>
          <w:rFonts w:ascii="Times New Roman" w:hAnsi="Times New Roman" w:cs="Times New Roman" w:eastAsia="Times New Roman"/>
          <w:b w:val="0"/>
          <w:i w:val="0"/>
          <w:smallCaps/>
          <w:sz w:val="16"/>
        </w:rPr>
        <w:t>Tabla II</w:t>
      </w:r>
    </w:p>
    <w:p>
      <w:pPr>
        <w:keepNext/>
        <w:widowControl/>
        <w:spacing w:before="0" w:after="40" w:line="240" w:lineRule="auto"/>
        <w:jc w:val="center"/>
      </w:pPr>
      <w:r>
        <w:rPr>
          <w:rFonts w:ascii="Times New Roman" w:hAnsi="Times New Roman" w:cs="Times New Roman" w:eastAsia="Times New Roman"/>
          <w:b w:val="0"/>
          <w:i w:val="0"/>
          <w:smallCaps/>
          <w:sz w:val="16"/>
        </w:rPr>
        <w:t>Diagnóstico con salidas reales (CV, 5 folds, grilla de 256 px)</w:t>
      </w:r>
    </w:p>
    <w:tbl>
      <w:tblPr>
        <w:jc w:val="center"/>
        <w:tblLayout w:type="fixed"/>
        <w:tblLook w:firstColumn="1" w:firstRow="1" w:lastColumn="0" w:lastRow="0" w:noHBand="0" w:noVBand="1" w:val="04A0"/>
        <w:tblLayout w:type="fixed"/>
        <w:tblW w:w="5040" w:type="dxa"/>
        <w:tblBorders>
          <w:top w:val="single" w:sz="8" w:space="0" w:color="000000"/>
          <w:left w:val="nil"/>
          <w:bottom w:val="single" w:sz="8" w:space="0" w:color="000000"/>
          <w:right w:val="nil"/>
          <w:insideH w:val="nil"/>
          <w:insideV w:val="nil"/>
        </w:tblBorders>
        <w:tblCellMar>
          <w:top w:w="0" w:type="dxa"/>
          <w:left w:w="45" w:type="dxa"/>
          <w:bottom w:w="0" w:type="dxa"/>
          <w:right w:w="45" w:type="dxa"/>
        </w:tblCellMar>
      </w:tblPr>
      <w:tblGrid>
        <w:gridCol w:w="892"/>
        <w:gridCol w:w="792"/>
        <w:gridCol w:w="792"/>
        <w:gridCol w:w="835"/>
        <w:gridCol w:w="835"/>
        <w:gridCol w:w="892"/>
      </w:tblGrid>
      <w:tr>
        <w:trPr>
          <w:cantSplit/>
          <w:tblHeader/>
        </w:trPr>
        <w:tc>
          <w:tcPr>
            <w:tcW w:type="dxa" w:w="893"/>
            <w:tcBorders>
              <w:bottom w:val="single" w:sz="4" w:space="0" w:color="000000"/>
            </w:tcBorders>
            <w:vAlign w:val="center"/>
          </w:tcPr>
          <w:p>
            <w:pPr>
              <w:keepNext/>
              <w:widowControl/>
              <w:spacing w:before="10" w:after="10" w:lineRule="exact" w:line="176"/>
              <w:jc w:val="left"/>
            </w:pPr>
            <w:r>
              <w:rPr>
                <w:rFonts w:ascii="Times New Roman" w:hAnsi="Times New Roman" w:cs="Times New Roman" w:eastAsia="Times New Roman"/>
                <w:b/>
                <w:i w:val="0"/>
                <w:smallCaps w:val="0"/>
                <w:sz w:val="14"/>
              </w:rPr>
              <w:t>Separación</w:t>
            </w:r>
          </w:p>
        </w:tc>
        <w:tc>
          <w:tcPr>
            <w:tcW w:type="dxa" w:w="792"/>
            <w:tcBorders>
              <w:bottom w:val="single" w:sz="4" w:space="0" w:color="000000"/>
            </w:tcBorders>
            <w:vAlign w:val="center"/>
          </w:tcPr>
          <w:p>
            <w:pPr>
              <w:keepNext/>
              <w:widowControl/>
              <w:spacing w:before="10" w:after="10" w:lineRule="exact" w:line="176"/>
              <w:jc w:val="center"/>
            </w:pPr>
            <w:r>
              <w:rPr>
                <w:rFonts w:ascii="Times New Roman" w:hAnsi="Times New Roman" w:cs="Times New Roman" w:eastAsia="Times New Roman"/>
                <w:b/>
                <w:i w:val="0"/>
                <w:smallCaps w:val="0"/>
                <w:sz w:val="14"/>
              </w:rPr>
              <w:t>Región</w:t>
            </w:r>
          </w:p>
        </w:tc>
        <w:tc>
          <w:tcPr>
            <w:tcW w:type="dxa" w:w="792"/>
            <w:tcBorders>
              <w:bottom w:val="single" w:sz="4" w:space="0" w:color="000000"/>
            </w:tcBorders>
            <w:vAlign w:val="center"/>
          </w:tcPr>
          <w:p>
            <w:pPr>
              <w:keepNext/>
              <w:widowControl/>
              <w:spacing w:before="10" w:after="10" w:lineRule="exact" w:line="176"/>
              <w:jc w:val="center"/>
            </w:pPr>
            <w:r>
              <w:rPr>
                <w:rFonts w:ascii="Times New Roman" w:hAnsi="Times New Roman" w:cs="Times New Roman" w:eastAsia="Times New Roman"/>
                <w:b/>
                <w:i w:val="0"/>
                <w:smallCaps w:val="0"/>
                <w:sz w:val="14"/>
              </w:rPr>
              <w:t>Borde</w:t>
            </w:r>
          </w:p>
        </w:tc>
        <w:tc>
          <w:tcPr>
            <w:tcW w:type="dxa" w:w="835"/>
            <w:tcBorders>
              <w:bottom w:val="single" w:sz="4" w:space="0" w:color="000000"/>
            </w:tcBorders>
            <w:vAlign w:val="center"/>
          </w:tcPr>
          <w:p>
            <w:pPr>
              <w:keepNext/>
              <w:widowControl/>
              <w:spacing w:before="10" w:after="10" w:lineRule="exact" w:line="176"/>
              <w:jc w:val="center"/>
            </w:pPr>
            <w:r>
              <w:rPr>
                <w:rFonts w:ascii="Times New Roman" w:hAnsi="Times New Roman" w:cs="Times New Roman" w:eastAsia="Times New Roman"/>
                <w:b/>
                <w:i w:val="0"/>
                <w:smallCaps w:val="0"/>
                <w:sz w:val="14"/>
              </w:rPr>
              <w:t>Dice frag.</w:t>
            </w:r>
          </w:p>
        </w:tc>
        <w:tc>
          <w:tcPr>
            <w:tcW w:type="dxa" w:w="835"/>
            <w:tcBorders>
              <w:bottom w:val="single" w:sz="4" w:space="0" w:color="000000"/>
            </w:tcBorders>
            <w:vAlign w:val="center"/>
          </w:tcPr>
          <w:p>
            <w:pPr>
              <w:keepNext/>
              <w:widowControl/>
              <w:spacing w:before="10" w:after="10" w:lineRule="exact" w:line="176"/>
              <w:jc w:val="center"/>
            </w:pPr>
            <w:r>
              <w:rPr>
                <w:rFonts w:ascii="Times New Roman" w:hAnsi="Times New Roman" w:cs="Times New Roman" w:eastAsia="Times New Roman"/>
                <w:b/>
                <w:i w:val="0"/>
                <w:smallCaps w:val="0"/>
                <w:sz w:val="14"/>
              </w:rPr>
              <w:t>IoU frag.</w:t>
            </w:r>
          </w:p>
        </w:tc>
        <w:tc>
          <w:tcPr>
            <w:tcW w:type="dxa" w:w="893"/>
            <w:tcBorders>
              <w:bottom w:val="single" w:sz="4" w:space="0" w:color="000000"/>
            </w:tcBorders>
            <w:vAlign w:val="center"/>
          </w:tcPr>
          <w:p>
            <w:pPr>
              <w:keepNext/>
              <w:widowControl/>
              <w:spacing w:before="10" w:after="10" w:lineRule="exact" w:line="176"/>
              <w:jc w:val="center"/>
            </w:pPr>
            <w:r>
              <w:rPr>
                <w:rFonts w:ascii="Times New Roman" w:hAnsi="Times New Roman" w:cs="Times New Roman" w:eastAsia="Times New Roman"/>
                <w:b/>
                <w:i w:val="0"/>
                <w:smallCaps w:val="0"/>
                <w:sz w:val="14"/>
              </w:rPr>
              <w:t>Secund. rec.</w:t>
            </w:r>
          </w:p>
        </w:tc>
      </w:tr>
      <w:tr>
        <w:trPr>
          <w:cantSplit/>
        </w:trPr>
        <w:tc>
          <w:tcPr>
            <w:tcW w:type="dxa" w:w="893"/>
            <w:vAlign w:val="center"/>
          </w:tcPr>
          <w:p>
            <w:pPr>
              <w:keepNext/>
              <w:widowControl/>
              <w:spacing w:before="10" w:after="10" w:lineRule="exact" w:line="176"/>
              <w:jc w:val="left"/>
            </w:pPr>
            <w:r>
              <w:rPr>
                <w:rFonts w:ascii="Times New Roman" w:hAnsi="Times New Roman" w:cs="Times New Roman" w:eastAsia="Times New Roman"/>
                <w:b w:val="0"/>
                <w:i w:val="0"/>
                <w:smallCaps w:val="0"/>
                <w:sz w:val="14"/>
              </w:rPr>
              <w:t>solo borde</w:t>
            </w:r>
          </w:p>
        </w:tc>
        <w:tc>
          <w:tcPr>
            <w:tcW w:type="dxa" w:w="792"/>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predicha</w:t>
            </w:r>
          </w:p>
        </w:tc>
        <w:tc>
          <w:tcPr>
            <w:tcW w:type="dxa" w:w="792"/>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predicho</w:t>
            </w:r>
          </w:p>
        </w:tc>
        <w:tc>
          <w:tcPr>
            <w:tcW w:type="dxa" w:w="835"/>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0,498</w:t>
            </w:r>
          </w:p>
        </w:tc>
        <w:tc>
          <w:tcPr>
            <w:tcW w:type="dxa" w:w="835"/>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0,460</w:t>
            </w:r>
          </w:p>
        </w:tc>
        <w:tc>
          <w:tcPr>
            <w:tcW w:type="dxa" w:w="893"/>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4,9 %</w:t>
            </w:r>
          </w:p>
        </w:tc>
      </w:tr>
      <w:tr>
        <w:trPr>
          <w:cantSplit/>
        </w:trPr>
        <w:tc>
          <w:tcPr>
            <w:tcW w:type="dxa" w:w="893"/>
            <w:vAlign w:val="center"/>
          </w:tcPr>
          <w:p>
            <w:pPr>
              <w:keepNext/>
              <w:widowControl/>
              <w:spacing w:before="10" w:after="10" w:lineRule="exact" w:line="176"/>
              <w:jc w:val="left"/>
            </w:pPr>
            <w:r>
              <w:rPr>
                <w:rFonts w:ascii="Times New Roman" w:hAnsi="Times New Roman" w:cs="Times New Roman" w:eastAsia="Times New Roman"/>
                <w:b w:val="0"/>
                <w:i w:val="0"/>
                <w:smallCaps w:val="0"/>
                <w:sz w:val="14"/>
              </w:rPr>
              <w:t>distancia</w:t>
            </w:r>
          </w:p>
        </w:tc>
        <w:tc>
          <w:tcPr>
            <w:tcW w:type="dxa" w:w="792"/>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predicha</w:t>
            </w:r>
          </w:p>
        </w:tc>
        <w:tc>
          <w:tcPr>
            <w:tcW w:type="dxa" w:w="792"/>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predicho</w:t>
            </w:r>
          </w:p>
        </w:tc>
        <w:tc>
          <w:tcPr>
            <w:tcW w:type="dxa" w:w="835"/>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0,745</w:t>
            </w:r>
          </w:p>
        </w:tc>
        <w:tc>
          <w:tcPr>
            <w:tcW w:type="dxa" w:w="835"/>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0,683</w:t>
            </w:r>
          </w:p>
        </w:tc>
        <w:tc>
          <w:tcPr>
            <w:tcW w:type="dxa" w:w="893"/>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59,5 %</w:t>
            </w:r>
          </w:p>
        </w:tc>
      </w:tr>
      <w:tr>
        <w:trPr>
          <w:cantSplit/>
        </w:trPr>
        <w:tc>
          <w:tcPr>
            <w:tcW w:type="dxa" w:w="893"/>
            <w:vAlign w:val="center"/>
          </w:tcPr>
          <w:p>
            <w:pPr>
              <w:keepNext/>
              <w:widowControl/>
              <w:spacing w:before="10" w:after="10" w:lineRule="exact" w:line="176"/>
              <w:jc w:val="left"/>
            </w:pPr>
            <w:r>
              <w:rPr>
                <w:rFonts w:ascii="Times New Roman" w:hAnsi="Times New Roman" w:cs="Times New Roman" w:eastAsia="Times New Roman"/>
                <w:b w:val="0"/>
                <w:i w:val="0"/>
                <w:smallCaps w:val="0"/>
                <w:sz w:val="14"/>
              </w:rPr>
              <w:t>distancia</w:t>
            </w:r>
          </w:p>
        </w:tc>
        <w:tc>
          <w:tcPr>
            <w:tcW w:type="dxa" w:w="792"/>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real</w:t>
            </w:r>
          </w:p>
        </w:tc>
        <w:tc>
          <w:tcPr>
            <w:tcW w:type="dxa" w:w="792"/>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predicho</w:t>
            </w:r>
          </w:p>
        </w:tc>
        <w:tc>
          <w:tcPr>
            <w:tcW w:type="dxa" w:w="835"/>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0,770</w:t>
            </w:r>
          </w:p>
        </w:tc>
        <w:tc>
          <w:tcPr>
            <w:tcW w:type="dxa" w:w="835"/>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0,729</w:t>
            </w:r>
          </w:p>
        </w:tc>
        <w:tc>
          <w:tcPr>
            <w:tcW w:type="dxa" w:w="893"/>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59,6 %</w:t>
            </w:r>
          </w:p>
        </w:tc>
      </w:tr>
      <w:tr>
        <w:trPr>
          <w:cantSplit/>
        </w:trPr>
        <w:tc>
          <w:tcPr>
            <w:tcW w:type="dxa" w:w="893"/>
            <w:vAlign w:val="center"/>
          </w:tcPr>
          <w:p>
            <w:pPr>
              <w:keepNext/>
              <w:widowControl/>
              <w:spacing w:before="10" w:after="10" w:lineRule="exact" w:line="176"/>
              <w:jc w:val="left"/>
            </w:pPr>
            <w:r>
              <w:rPr>
                <w:rFonts w:ascii="Times New Roman" w:hAnsi="Times New Roman" w:cs="Times New Roman" w:eastAsia="Times New Roman"/>
                <w:b w:val="0"/>
                <w:i w:val="0"/>
                <w:smallCaps w:val="0"/>
                <w:sz w:val="14"/>
              </w:rPr>
              <w:t>distancia</w:t>
            </w:r>
          </w:p>
        </w:tc>
        <w:tc>
          <w:tcPr>
            <w:tcW w:type="dxa" w:w="792"/>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predicha</w:t>
            </w:r>
          </w:p>
        </w:tc>
        <w:tc>
          <w:tcPr>
            <w:tcW w:type="dxa" w:w="792"/>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real</w:t>
            </w:r>
          </w:p>
        </w:tc>
        <w:tc>
          <w:tcPr>
            <w:tcW w:type="dxa" w:w="835"/>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0,902</w:t>
            </w:r>
          </w:p>
        </w:tc>
        <w:tc>
          <w:tcPr>
            <w:tcW w:type="dxa" w:w="835"/>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0,856</w:t>
            </w:r>
          </w:p>
        </w:tc>
        <w:tc>
          <w:tcPr>
            <w:tcW w:type="dxa" w:w="893"/>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90,6 %</w:t>
            </w:r>
          </w:p>
        </w:tc>
      </w:tr>
      <w:tr>
        <w:trPr>
          <w:cantSplit/>
        </w:trPr>
        <w:tc>
          <w:tcPr>
            <w:tcW w:type="dxa" w:w="893"/>
            <w:vAlign w:val="center"/>
          </w:tcPr>
          <w:p>
            <w:pPr>
              <w:keepNext/>
              <w:widowControl/>
              <w:spacing w:before="10" w:after="10" w:lineRule="exact" w:line="176"/>
              <w:jc w:val="left"/>
            </w:pPr>
            <w:r>
              <w:rPr>
                <w:rFonts w:ascii="Times New Roman" w:hAnsi="Times New Roman" w:cs="Times New Roman" w:eastAsia="Times New Roman"/>
                <w:b w:val="0"/>
                <w:i w:val="0"/>
                <w:smallCaps w:val="0"/>
                <w:sz w:val="14"/>
              </w:rPr>
              <w:t>distancia</w:t>
            </w:r>
          </w:p>
        </w:tc>
        <w:tc>
          <w:tcPr>
            <w:tcW w:type="dxa" w:w="792"/>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real</w:t>
            </w:r>
          </w:p>
        </w:tc>
        <w:tc>
          <w:tcPr>
            <w:tcW w:type="dxa" w:w="792"/>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real</w:t>
            </w:r>
          </w:p>
        </w:tc>
        <w:tc>
          <w:tcPr>
            <w:tcW w:type="dxa" w:w="835"/>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0,989</w:t>
            </w:r>
          </w:p>
        </w:tc>
        <w:tc>
          <w:tcPr>
            <w:tcW w:type="dxa" w:w="835"/>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0,984</w:t>
            </w:r>
          </w:p>
        </w:tc>
        <w:tc>
          <w:tcPr>
            <w:tcW w:type="dxa" w:w="893"/>
            <w:vAlign w:val="center"/>
          </w:tcPr>
          <w:p>
            <w:pPr>
              <w:keepNext/>
              <w:widowControl/>
              <w:spacing w:before="10" w:after="10" w:lineRule="exact" w:line="176"/>
              <w:jc w:val="center"/>
            </w:pPr>
            <w:r>
              <w:rPr>
                <w:rFonts w:ascii="Times New Roman" w:hAnsi="Times New Roman" w:cs="Times New Roman" w:eastAsia="Times New Roman"/>
                <w:b w:val="0"/>
                <w:i w:val="0"/>
                <w:smallCaps w:val="0"/>
                <w:sz w:val="14"/>
              </w:rPr>
              <w:t>99,1 %</w:t>
            </w:r>
          </w:p>
        </w:tc>
      </w:tr>
    </w:tbl>
    <w:p>
      <w:pPr>
        <w:keepNext w:val="0"/>
        <w:widowControl/>
        <w:spacing w:before="0" w:after="60" w:lineRule="exact" w:line="80"/>
        <w:jc w:val="left"/>
      </w:pPr>
    </w:p>
    <w:p>
      <w:pPr>
        <w:keepNext/>
        <w:widowControl/>
        <w:spacing w:before="60" w:after="20" w:line="240" w:lineRule="auto"/>
        <w:jc w:val="left"/>
      </w:pPr>
      <w:r>
        <w:rPr>
          <w:rFonts w:ascii="Times New Roman" w:hAnsi="Times New Roman" w:cs="Times New Roman" w:eastAsia="Times New Roman"/>
          <w:b w:val="0"/>
          <w:i/>
          <w:smallCaps w:val="0"/>
          <w:sz w:val="20"/>
        </w:rPr>
        <w:t>B. Cribado de hiperparámetros</w:t>
      </w:r>
    </w:p>
    <w:p>
      <w:pPr>
        <w:keepNext w:val="0"/>
        <w:widowControl/>
        <w:spacing w:before="0" w:after="0" w:line="240" w:lineRule="auto"/>
        <w:ind w:firstLine="202"/>
        <w:jc w:val="both"/>
      </w:pPr>
      <w:r>
        <w:rPr>
          <w:rFonts w:ascii="Times New Roman" w:hAnsi="Times New Roman" w:cs="Times New Roman" w:eastAsia="Times New Roman"/>
          <w:b w:val="0"/>
          <w:i w:val="0"/>
          <w:smallCaps w:val="0"/>
          <w:sz w:val="20"/>
        </w:rPr>
        <w:t>Los cambios de entrenamiento se cribaron en el fold 0 a 12 épocas, cada uno con su mejor posproceso, igual que las semillas (Tabla III). Nueve de diez quedan dentro de ±2σ; frenar el backbone (lr × 0,3) empeora 4,3σ, y el mejor (+1,1σ) no se sostuvo en la confirmación. El dropout de 0,25 a 0,40 no muestra tendencia (0,674; 0,662; 0,686; 0,687); subirlo de 0 a 0,40 cierra la brecha de la pérdida de borde (0,22 a 0,08) porque empeora el entrenamiento, no porque mejore la validación (0,47-0,49). En la semana 11 los tres remedios que faltaban contra ese sobreajuste no llegaron al umbral; U-Net++ [12] quedó a 0,003, con un borde más preciso (0,43 contra 0,37) e igual recall (0,16).</w:t>
      </w:r>
    </w:p>
    <w:p>
      <w:pPr>
        <w:keepNext/>
        <w:widowControl/>
        <w:spacing w:before="120" w:after="0" w:line="240" w:lineRule="auto"/>
        <w:jc w:val="center"/>
      </w:pPr>
      <w:r>
        <w:rPr>
          <w:rFonts w:ascii="Times New Roman" w:hAnsi="Times New Roman" w:cs="Times New Roman" w:eastAsia="Times New Roman"/>
          <w:b w:val="0"/>
          <w:i w:val="0"/>
          <w:smallCaps/>
          <w:sz w:val="16"/>
        </w:rPr>
        <w:t>Tabla III</w:t>
      </w:r>
    </w:p>
    <w:p>
      <w:pPr>
        <w:keepNext/>
        <w:widowControl/>
        <w:spacing w:before="0" w:after="40" w:line="240" w:lineRule="auto"/>
        <w:jc w:val="center"/>
      </w:pPr>
      <w:r>
        <w:rPr>
          <w:rFonts w:ascii="Times New Roman" w:hAnsi="Times New Roman" w:cs="Times New Roman" w:eastAsia="Times New Roman"/>
          <w:b w:val="0"/>
          <w:i w:val="0"/>
          <w:smallCaps/>
          <w:sz w:val="16"/>
        </w:rPr>
        <w:t>Cribado en el fold 0 (12 épocas); referencia: semilla 42, 0,6925</w:t>
      </w:r>
    </w:p>
    <w:tbl>
      <w:tblPr>
        <w:jc w:val="center"/>
        <w:tblLayout w:type="fixed"/>
        <w:tblLook w:firstColumn="1" w:firstRow="1" w:lastColumn="0" w:lastRow="0" w:noHBand="0" w:noVBand="1" w:val="04A0"/>
        <w:tblLayout w:type="fixed"/>
        <w:tblW w:w="5040" w:type="dxa"/>
        <w:tblBorders>
          <w:top w:val="single" w:sz="8" w:space="0" w:color="000000"/>
          <w:left w:val="nil"/>
          <w:bottom w:val="single" w:sz="8" w:space="0" w:color="000000"/>
          <w:right w:val="nil"/>
          <w:insideH w:val="nil"/>
          <w:insideV w:val="nil"/>
        </w:tblBorders>
        <w:tblCellMar>
          <w:top w:w="0" w:type="dxa"/>
          <w:left w:w="45" w:type="dxa"/>
          <w:bottom w:w="0" w:type="dxa"/>
          <w:right w:w="45" w:type="dxa"/>
        </w:tblCellMar>
      </w:tblPr>
      <w:tblGrid>
        <w:gridCol w:w="1497"/>
        <w:gridCol w:w="950"/>
        <w:gridCol w:w="1065"/>
        <w:gridCol w:w="806"/>
        <w:gridCol w:w="720"/>
      </w:tblGrid>
      <w:tr>
        <w:trPr>
          <w:cantSplit/>
          <w:tblHeader/>
        </w:trPr>
        <w:tc>
          <w:tcPr>
            <w:tcW w:type="dxa" w:w="1498"/>
            <w:tcBorders>
              <w:bottom w:val="single" w:sz="4" w:space="0" w:color="000000"/>
            </w:tcBorders>
            <w:vAlign w:val="center"/>
          </w:tcPr>
          <w:p>
            <w:pPr>
              <w:keepNext/>
              <w:widowControl/>
              <w:spacing w:before="10" w:after="10" w:lineRule="exact" w:line="168"/>
              <w:jc w:val="left"/>
            </w:pPr>
            <w:r>
              <w:rPr>
                <w:rFonts w:ascii="Times New Roman" w:hAnsi="Times New Roman" w:cs="Times New Roman" w:eastAsia="Times New Roman"/>
                <w:b/>
                <w:i w:val="0"/>
                <w:smallCaps w:val="0"/>
                <w:sz w:val="13"/>
              </w:rPr>
              <w:t>Cambio</w:t>
            </w:r>
          </w:p>
        </w:tc>
        <w:tc>
          <w:tcPr>
            <w:tcW w:type="dxa" w:w="950"/>
            <w:tcBorders>
              <w:bottom w:val="single" w:sz="4" w:space="0" w:color="000000"/>
            </w:tcBorders>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Dice frag.</w:t>
            </w:r>
          </w:p>
        </w:tc>
        <w:tc>
          <w:tcPr>
            <w:tcW w:type="dxa" w:w="1066"/>
            <w:tcBorders>
              <w:bottom w:val="single" w:sz="4" w:space="0" w:color="000000"/>
            </w:tcBorders>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Δ</w:t>
            </w:r>
          </w:p>
        </w:tc>
        <w:tc>
          <w:tcPr>
            <w:tcW w:type="dxa" w:w="806"/>
            <w:tcBorders>
              <w:bottom w:val="single" w:sz="4" w:space="0" w:color="000000"/>
            </w:tcBorders>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Δ/σ</w:t>
            </w:r>
          </w:p>
        </w:tc>
        <w:tc>
          <w:tcPr>
            <w:tcW w:type="dxa" w:w="720"/>
            <w:tcBorders>
              <w:bottom w:val="single" w:sz="4" w:space="0" w:color="000000"/>
            </w:tcBorders>
            <w:vAlign w:val="center"/>
          </w:tcPr>
          <w:p>
            <w:pPr>
              <w:keepNext/>
              <w:widowControl/>
              <w:spacing w:before="10" w:after="10" w:lineRule="exact" w:line="168"/>
              <w:jc w:val="left"/>
            </w:pPr>
            <w:r>
              <w:rPr>
                <w:rFonts w:ascii="Times New Roman" w:hAnsi="Times New Roman" w:cs="Times New Roman" w:eastAsia="Times New Roman"/>
                <w:b/>
                <w:i w:val="0"/>
                <w:smallCaps w:val="0"/>
                <w:sz w:val="13"/>
              </w:rPr>
              <w:t>Decisión</w:t>
            </w:r>
          </w:p>
        </w:tc>
      </w:tr>
      <w:tr>
        <w:trPr>
          <w:cantSplit/>
        </w:trPr>
        <w:tc>
          <w:tcPr>
            <w:tcW w:type="dxa" w:w="1498"/>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×3 cortes con secundarios</w:t>
            </w:r>
          </w:p>
        </w:tc>
        <w:tc>
          <w:tcPr>
            <w:tcW w:type="dxa" w:w="950"/>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0,7031</w:t>
            </w:r>
          </w:p>
        </w:tc>
        <w:tc>
          <w:tcPr>
            <w:tcW w:type="dxa" w:w="106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+0,0106</w:t>
            </w:r>
          </w:p>
        </w:tc>
        <w:tc>
          <w:tcPr>
            <w:tcW w:type="dxa" w:w="80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+1,09</w:t>
            </w:r>
          </w:p>
        </w:tc>
        <w:tc>
          <w:tcPr>
            <w:tcW w:type="dxa" w:w="720"/>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confirmar</w:t>
            </w:r>
          </w:p>
        </w:tc>
      </w:tr>
      <w:tr>
        <w:trPr>
          <w:cantSplit/>
        </w:trPr>
        <w:tc>
          <w:tcPr>
            <w:tcW w:type="dxa" w:w="1498"/>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lr 10</w:t>
            </w:r>
            <w:r>
              <w:rPr>
                <w:rFonts w:ascii="Times New Roman" w:hAnsi="Times New Roman" w:cs="Times New Roman" w:eastAsia="Times New Roman"/>
                <w:b w:val="0"/>
                <w:i w:val="0"/>
                <w:smallCaps w:val="0"/>
                <w:sz w:val="13"/>
                <w:vertAlign w:val="superscript"/>
              </w:rPr>
              <w:t>−3</w:t>
            </w:r>
            <w:r>
              <w:rPr>
                <w:rFonts w:ascii="Times New Roman" w:hAnsi="Times New Roman" w:cs="Times New Roman" w:eastAsia="Times New Roman"/>
                <w:b w:val="0"/>
                <w:i w:val="0"/>
                <w:smallCaps w:val="0"/>
                <w:sz w:val="13"/>
              </w:rPr>
              <w:t xml:space="preserve"> (base 3·10</w:t>
            </w:r>
            <w:r>
              <w:rPr>
                <w:rFonts w:ascii="Times New Roman" w:hAnsi="Times New Roman" w:cs="Times New Roman" w:eastAsia="Times New Roman"/>
                <w:b w:val="0"/>
                <w:i w:val="0"/>
                <w:smallCaps w:val="0"/>
                <w:sz w:val="13"/>
                <w:vertAlign w:val="superscript"/>
              </w:rPr>
              <w:t>−4</w:t>
            </w:r>
            <w:r>
              <w:rPr>
                <w:rFonts w:ascii="Times New Roman" w:hAnsi="Times New Roman" w:cs="Times New Roman" w:eastAsia="Times New Roman"/>
                <w:b w:val="0"/>
                <w:i w:val="0"/>
                <w:smallCaps w:val="0"/>
                <w:sz w:val="13"/>
              </w:rPr>
              <w:t>)</w:t>
            </w:r>
          </w:p>
        </w:tc>
        <w:tc>
          <w:tcPr>
            <w:tcW w:type="dxa" w:w="950"/>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0,6963</w:t>
            </w:r>
          </w:p>
        </w:tc>
        <w:tc>
          <w:tcPr>
            <w:tcW w:type="dxa" w:w="106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+0,0038</w:t>
            </w:r>
          </w:p>
        </w:tc>
        <w:tc>
          <w:tcPr>
            <w:tcW w:type="dxa" w:w="80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+0,39</w:t>
            </w:r>
          </w:p>
        </w:tc>
        <w:tc>
          <w:tcPr>
            <w:tcW w:type="dxa" w:w="720"/>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ruido</w:t>
            </w:r>
          </w:p>
        </w:tc>
      </w:tr>
      <w:tr>
        <w:trPr>
          <w:cantSplit/>
        </w:trPr>
        <w:tc>
          <w:tcPr>
            <w:tcW w:type="dxa" w:w="1498"/>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Dilatación del borde 1 / 3</w:t>
            </w:r>
          </w:p>
        </w:tc>
        <w:tc>
          <w:tcPr>
            <w:tcW w:type="dxa" w:w="950"/>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0,6939 / 0,6875</w:t>
            </w:r>
          </w:p>
        </w:tc>
        <w:tc>
          <w:tcPr>
            <w:tcW w:type="dxa" w:w="106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+0,0014 / −0,0049</w:t>
            </w:r>
          </w:p>
        </w:tc>
        <w:tc>
          <w:tcPr>
            <w:tcW w:type="dxa" w:w="80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+0,14 / −0,51</w:t>
            </w:r>
          </w:p>
        </w:tc>
        <w:tc>
          <w:tcPr>
            <w:tcW w:type="dxa" w:w="720"/>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ruido</w:t>
            </w:r>
          </w:p>
        </w:tc>
      </w:tr>
      <w:tr>
        <w:trPr>
          <w:cantSplit/>
        </w:trPr>
        <w:tc>
          <w:tcPr>
            <w:tcW w:type="dxa" w:w="1498"/>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Peso del borde 4 / 16</w:t>
            </w:r>
          </w:p>
        </w:tc>
        <w:tc>
          <w:tcPr>
            <w:tcW w:type="dxa" w:w="950"/>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0,6908 / 0,6835</w:t>
            </w:r>
          </w:p>
        </w:tc>
        <w:tc>
          <w:tcPr>
            <w:tcW w:type="dxa" w:w="106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−0,0017 / −0,0090</w:t>
            </w:r>
          </w:p>
        </w:tc>
        <w:tc>
          <w:tcPr>
            <w:tcW w:type="dxa" w:w="80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−0,17 / −0,92</w:t>
            </w:r>
          </w:p>
        </w:tc>
        <w:tc>
          <w:tcPr>
            <w:tcW w:type="dxa" w:w="720"/>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ruido</w:t>
            </w:r>
          </w:p>
        </w:tc>
      </w:tr>
      <w:tr>
        <w:trPr>
          <w:cantSplit/>
        </w:trPr>
        <w:tc>
          <w:tcPr>
            <w:tcW w:type="dxa" w:w="1498"/>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Dropout 0,2 / sin dropout</w:t>
            </w:r>
          </w:p>
        </w:tc>
        <w:tc>
          <w:tcPr>
            <w:tcW w:type="dxa" w:w="950"/>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0,6905 / 0,6891</w:t>
            </w:r>
          </w:p>
        </w:tc>
        <w:tc>
          <w:tcPr>
            <w:tcW w:type="dxa" w:w="106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−0,0020 / −0,0034</w:t>
            </w:r>
          </w:p>
        </w:tc>
        <w:tc>
          <w:tcPr>
            <w:tcW w:type="dxa" w:w="80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−0,21 / −0,35</w:t>
            </w:r>
          </w:p>
        </w:tc>
        <w:tc>
          <w:tcPr>
            <w:tcW w:type="dxa" w:w="720"/>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ruido</w:t>
            </w:r>
          </w:p>
        </w:tc>
      </w:tr>
      <w:tr>
        <w:trPr>
          <w:cantSplit/>
        </w:trPr>
        <w:tc>
          <w:tcPr>
            <w:tcW w:type="dxa" w:w="1498"/>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Aumentación fuerte</w:t>
            </w:r>
          </w:p>
        </w:tc>
        <w:tc>
          <w:tcPr>
            <w:tcW w:type="dxa" w:w="950"/>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0,6805</w:t>
            </w:r>
          </w:p>
        </w:tc>
        <w:tc>
          <w:tcPr>
            <w:tcW w:type="dxa" w:w="106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−0,0120</w:t>
            </w:r>
          </w:p>
        </w:tc>
        <w:tc>
          <w:tcPr>
            <w:tcW w:type="dxa" w:w="80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−1,23</w:t>
            </w:r>
          </w:p>
        </w:tc>
        <w:tc>
          <w:tcPr>
            <w:tcW w:type="dxa" w:w="720"/>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ruido</w:t>
            </w:r>
          </w:p>
        </w:tc>
      </w:tr>
      <w:tr>
        <w:trPr>
          <w:cantSplit/>
        </w:trPr>
        <w:tc>
          <w:tcPr>
            <w:tcW w:type="dxa" w:w="1498"/>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Backbone con lr × 0,3</w:t>
            </w:r>
          </w:p>
        </w:tc>
        <w:tc>
          <w:tcPr>
            <w:tcW w:type="dxa" w:w="950"/>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0,6503</w:t>
            </w:r>
          </w:p>
        </w:tc>
        <w:tc>
          <w:tcPr>
            <w:tcW w:type="dxa" w:w="106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−0,0421</w:t>
            </w:r>
          </w:p>
        </w:tc>
        <w:tc>
          <w:tcPr>
            <w:tcW w:type="dxa" w:w="80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−4,32</w:t>
            </w:r>
          </w:p>
        </w:tc>
        <w:tc>
          <w:tcPr>
            <w:tcW w:type="dxa" w:w="720"/>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peor</w:t>
            </w:r>
          </w:p>
        </w:tc>
      </w:tr>
      <w:tr>
        <w:trPr>
          <w:cantSplit/>
        </w:trPr>
        <w:tc>
          <w:tcPr>
            <w:tcW w:type="dxa" w:w="5040"/>
            <w:gridSpan w:val="5"/>
            <w:tcBorders>
              <w:top w:val="single" w:sz="4" w:space="0" w:color="000000"/>
            </w:tcBorders>
            <w:shd w:val="clear" w:color="auto" w:fill="F0F0F0"/>
            <w:vAlign w:val="center"/>
          </w:tcPr>
          <w:p>
            <w:pPr>
              <w:keepNext/>
              <w:widowControl/>
              <w:spacing w:before="10" w:after="10" w:lineRule="exact" w:line="168"/>
              <w:jc w:val="left"/>
            </w:pPr>
            <w:r>
              <w:rPr>
                <w:rFonts w:ascii="Times New Roman" w:hAnsi="Times New Roman" w:cs="Times New Roman" w:eastAsia="Times New Roman"/>
                <w:b w:val="0"/>
                <w:i/>
                <w:smallCaps w:val="0"/>
                <w:sz w:val="13"/>
              </w:rPr>
              <w:t>Semana 11; regla: Dice ≥ μ + 2σ = 0,6964 (Tabla I)</w:t>
            </w:r>
          </w:p>
        </w:tc>
      </w:tr>
      <w:tr>
        <w:trPr>
          <w:cantSplit/>
        </w:trPr>
        <w:tc>
          <w:tcPr>
            <w:tcW w:type="dxa" w:w="1498"/>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L2 × 100 (wd 10</w:t>
            </w:r>
            <w:r>
              <w:rPr>
                <w:rFonts w:ascii="Times New Roman" w:hAnsi="Times New Roman" w:cs="Times New Roman" w:eastAsia="Times New Roman"/>
                <w:b w:val="0"/>
                <w:i w:val="0"/>
                <w:smallCaps w:val="0"/>
                <w:sz w:val="13"/>
                <w:vertAlign w:val="superscript"/>
              </w:rPr>
              <w:t>−2</w:t>
            </w:r>
            <w:r>
              <w:rPr>
                <w:rFonts w:ascii="Times New Roman" w:hAnsi="Times New Roman" w:cs="Times New Roman" w:eastAsia="Times New Roman"/>
                <w:b w:val="0"/>
                <w:i w:val="0"/>
                <w:smallCaps w:val="0"/>
                <w:sz w:val="13"/>
              </w:rPr>
              <w:t>)</w:t>
            </w:r>
          </w:p>
        </w:tc>
        <w:tc>
          <w:tcPr>
            <w:tcW w:type="dxa" w:w="950"/>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0,6829</w:t>
            </w:r>
          </w:p>
        </w:tc>
        <w:tc>
          <w:tcPr>
            <w:tcW w:type="dxa" w:w="106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−0,0096</w:t>
            </w:r>
          </w:p>
        </w:tc>
        <w:tc>
          <w:tcPr>
            <w:tcW w:type="dxa" w:w="80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z 0,43</w:t>
            </w:r>
          </w:p>
        </w:tc>
        <w:tc>
          <w:tcPr>
            <w:tcW w:type="dxa" w:w="720"/>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no pasa</w:t>
            </w:r>
          </w:p>
        </w:tc>
      </w:tr>
      <w:tr>
        <w:trPr>
          <w:cantSplit/>
        </w:trPr>
        <w:tc>
          <w:tcPr>
            <w:tcW w:type="dxa" w:w="1498"/>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Decodificador 32 canales</w:t>
            </w:r>
          </w:p>
        </w:tc>
        <w:tc>
          <w:tcPr>
            <w:tcW w:type="dxa" w:w="950"/>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0,6899</w:t>
            </w:r>
          </w:p>
        </w:tc>
        <w:tc>
          <w:tcPr>
            <w:tcW w:type="dxa" w:w="106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−0,0026</w:t>
            </w:r>
          </w:p>
        </w:tc>
        <w:tc>
          <w:tcPr>
            <w:tcW w:type="dxa" w:w="80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z 1,25</w:t>
            </w:r>
          </w:p>
        </w:tc>
        <w:tc>
          <w:tcPr>
            <w:tcW w:type="dxa" w:w="720"/>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no pasa</w:t>
            </w:r>
          </w:p>
        </w:tc>
      </w:tr>
      <w:tr>
        <w:trPr>
          <w:cantSplit/>
        </w:trPr>
        <w:tc>
          <w:tcPr>
            <w:tcW w:type="dxa" w:w="1498"/>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U-Net++ con C0</w:t>
            </w:r>
          </w:p>
        </w:tc>
        <w:tc>
          <w:tcPr>
            <w:tcW w:type="dxa" w:w="950"/>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0,6934</w:t>
            </w:r>
          </w:p>
        </w:tc>
        <w:tc>
          <w:tcPr>
            <w:tcW w:type="dxa" w:w="106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+0,0009</w:t>
            </w:r>
          </w:p>
        </w:tc>
        <w:tc>
          <w:tcPr>
            <w:tcW w:type="dxa" w:w="80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z 1,66</w:t>
            </w:r>
          </w:p>
        </w:tc>
        <w:tc>
          <w:tcPr>
            <w:tcW w:type="dxa" w:w="720"/>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no pasa</w:t>
            </w:r>
          </w:p>
        </w:tc>
      </w:tr>
    </w:tbl>
    <w:p>
      <w:pPr>
        <w:keepNext w:val="0"/>
        <w:widowControl/>
        <w:spacing w:before="0" w:after="60" w:lineRule="exact" w:line="80"/>
        <w:jc w:val="left"/>
      </w:pPr>
    </w:p>
    <w:tbl>
      <w:tblPr>
        <w:tblpPr w:leftFromText="0" w:rightFromText="0" w:topFromText="0" w:bottomFromText="170" w:vertAnchor="margin" w:horzAnchor="margin" w:tblpXSpec="center" w:tblpYSpec="top"/>
        <w:tblLook w:firstColumn="1" w:firstRow="1" w:lastColumn="0" w:lastRow="0" w:noHBand="0" w:noVBand="1" w:val="04A0"/>
        <w:tblOverlap w:val="never"/>
        <w:tblW w:w="10454" w:type="dxa"/>
        <w:tblLayout w:type="fixed"/>
        <w:tblBorders>
          <w:top w:val="nil"/>
          <w:left w:val="nil"/>
          <w:bottom w:val="nil"/>
          <w:right w:val="nil"/>
          <w:insideH w:val="nil"/>
          <w:insideV w:val="nil"/>
        </w:tblBorders>
        <w:tblCellMar>
          <w:top w:w="0" w:type="dxa"/>
          <w:left w:w="0" w:type="dxa"/>
          <w:bottom w:w="0" w:type="dxa"/>
          <w:right w:w="0" w:type="dxa"/>
        </w:tblCellMar>
      </w:tblPr>
      <w:tblGrid>
        <w:gridCol w:w="10454"/>
      </w:tblGrid>
      <w:tr>
        <w:tc>
          <w:tcPr>
            <w:tcW w:type="dxa" w:w="10454"/>
          </w:tcPr>
          <w:p>
            <w:pPr>
              <w:keepNext/>
              <w:widowControl/>
              <w:spacing w:before="0" w:after="0" w:line="240" w:lineRule="auto"/>
              <w:jc w:val="center"/>
            </w:pPr>
            <w:r>
              <w:rPr>
                <w:rFonts w:ascii="Times New Roman" w:hAnsi="Times New Roman" w:cs="Times New Roman" w:eastAsia="Times New Roman"/>
                <w:b w:val="0"/>
                <w:i w:val="0"/>
                <w:smallCaps/>
                <w:sz w:val="16"/>
              </w:rPr>
              <w:t>Tabla IV</w:t>
            </w:r>
          </w:p>
          <w:p>
            <w:pPr>
              <w:keepNext/>
              <w:widowControl/>
              <w:spacing w:before="0" w:after="40" w:line="240" w:lineRule="auto"/>
              <w:jc w:val="center"/>
            </w:pPr>
            <w:r>
              <w:rPr>
                <w:rFonts w:ascii="Times New Roman" w:hAnsi="Times New Roman" w:cs="Times New Roman" w:eastAsia="Times New Roman"/>
                <w:b w:val="0"/>
                <w:i w:val="0"/>
                <w:smallCaps/>
                <w:sz w:val="16"/>
              </w:rPr>
              <w:t>Confirmación emparejada por fold (CV, 5 folds de 17 pacientes): Δ y t contra la referencia de cada bloque</w:t>
            </w:r>
          </w:p>
          <w:tbl>
            <w:tblPr>
              <w:jc w:val="center"/>
              <w:tblLayout w:type="fixed"/>
              <w:tblLook w:firstColumn="1" w:firstRow="1" w:lastColumn="0" w:lastRow="0" w:noHBand="0" w:noVBand="1" w:val="04A0"/>
              <w:tblLayout w:type="fixed"/>
              <w:tblW w:w="10454" w:type="dxa"/>
              <w:tblBorders>
                <w:top w:val="single" w:sz="8" w:space="0" w:color="000000"/>
                <w:left w:val="nil"/>
                <w:bottom w:val="single" w:sz="8" w:space="0" w:color="000000"/>
                <w:right w:val="nil"/>
                <w:insideH w:val="nil"/>
                <w:insideV w:val="nil"/>
              </w:tblBorders>
              <w:tblCellMar>
                <w:top w:w="0" w:type="dxa"/>
                <w:left w:w="45" w:type="dxa"/>
                <w:bottom w:w="0" w:type="dxa"/>
                <w:right w:w="45" w:type="dxa"/>
              </w:tblCellMar>
            </w:tblPr>
            <w:tblGrid>
              <w:gridCol w:w="3311"/>
              <w:gridCol w:w="1152"/>
              <w:gridCol w:w="1324"/>
              <w:gridCol w:w="864"/>
              <w:gridCol w:w="748"/>
              <w:gridCol w:w="1036"/>
              <w:gridCol w:w="2015"/>
            </w:tblGrid>
            <w:tr>
              <w:trPr>
                <w:cantSplit/>
                <w:tblHeader/>
              </w:trPr>
              <w:tc>
                <w:tcPr>
                  <w:tcW w:type="dxa" w:w="3312"/>
                  <w:tcBorders>
                    <w:bottom w:val="single" w:sz="4" w:space="0" w:color="000000"/>
                  </w:tcBorders>
                  <w:vAlign w:val="center"/>
                </w:tcPr>
                <w:p>
                  <w:pPr>
                    <w:keepNext/>
                    <w:widowControl/>
                    <w:spacing w:before="10" w:after="10" w:lineRule="exact" w:line="168"/>
                    <w:jc w:val="left"/>
                  </w:pPr>
                  <w:r>
                    <w:rPr>
                      <w:rFonts w:ascii="Times New Roman" w:hAnsi="Times New Roman" w:cs="Times New Roman" w:eastAsia="Times New Roman"/>
                      <w:b/>
                      <w:i w:val="0"/>
                      <w:smallCaps w:val="0"/>
                      <w:sz w:val="13"/>
                    </w:rPr>
                    <w:t>Variante</w:t>
                  </w:r>
                </w:p>
              </w:tc>
              <w:tc>
                <w:tcPr>
                  <w:tcW w:type="dxa" w:w="1152"/>
                  <w:tcBorders>
                    <w:bottom w:val="single" w:sz="4" w:space="0" w:color="000000"/>
                  </w:tcBorders>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Dice frag.</w:t>
                  </w:r>
                </w:p>
              </w:tc>
              <w:tc>
                <w:tcPr>
                  <w:tcW w:type="dxa" w:w="1325"/>
                  <w:tcBorders>
                    <w:bottom w:val="single" w:sz="4" w:space="0" w:color="000000"/>
                  </w:tcBorders>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Δ Dice</w:t>
                  </w:r>
                </w:p>
              </w:tc>
              <w:tc>
                <w:tcPr>
                  <w:tcW w:type="dxa" w:w="864"/>
                  <w:tcBorders>
                    <w:bottom w:val="single" w:sz="4" w:space="0" w:color="000000"/>
                  </w:tcBorders>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t</w:t>
                  </w:r>
                </w:p>
              </w:tc>
              <w:tc>
                <w:tcPr>
                  <w:tcW w:type="dxa" w:w="749"/>
                  <w:tcBorders>
                    <w:bottom w:val="single" w:sz="4" w:space="0" w:color="000000"/>
                  </w:tcBorders>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Folds</w:t>
                  </w:r>
                </w:p>
              </w:tc>
              <w:tc>
                <w:tcPr>
                  <w:tcW w:type="dxa" w:w="1037"/>
                  <w:tcBorders>
                    <w:bottom w:val="single" w:sz="4" w:space="0" w:color="000000"/>
                  </w:tcBorders>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Δ principal</w:t>
                  </w:r>
                </w:p>
              </w:tc>
              <w:tc>
                <w:tcPr>
                  <w:tcW w:type="dxa" w:w="2016"/>
                  <w:tcBorders>
                    <w:bottom w:val="single" w:sz="4" w:space="0" w:color="000000"/>
                  </w:tcBorders>
                  <w:vAlign w:val="center"/>
                </w:tcPr>
                <w:p>
                  <w:pPr>
                    <w:keepNext/>
                    <w:widowControl/>
                    <w:spacing w:before="10" w:after="10" w:lineRule="exact" w:line="168"/>
                    <w:jc w:val="left"/>
                  </w:pPr>
                  <w:r>
                    <w:rPr>
                      <w:rFonts w:ascii="Times New Roman" w:hAnsi="Times New Roman" w:cs="Times New Roman" w:eastAsia="Times New Roman"/>
                      <w:b/>
                      <w:i w:val="0"/>
                      <w:smallCaps w:val="0"/>
                      <w:sz w:val="13"/>
                    </w:rPr>
                    <w:t>Decisión</w:t>
                  </w:r>
                </w:p>
              </w:tc>
            </w:tr>
            <w:tr>
              <w:trPr>
                <w:cantSplit/>
              </w:trPr>
              <w:tc>
                <w:tcPr>
                  <w:tcW w:type="dxa" w:w="10454"/>
                  <w:gridSpan w:val="7"/>
                  <w:tcBorders>
                    <w:top w:val="single" w:sz="4" w:space="0" w:color="000000"/>
                  </w:tcBorders>
                  <w:shd w:val="clear" w:color="auto" w:fill="F0F0F0"/>
                  <w:vAlign w:val="center"/>
                </w:tcPr>
                <w:p>
                  <w:pPr>
                    <w:keepNext/>
                    <w:widowControl/>
                    <w:spacing w:before="10" w:after="10" w:lineRule="exact" w:line="168"/>
                    <w:jc w:val="left"/>
                  </w:pPr>
                  <w:r>
                    <w:rPr>
                      <w:rFonts w:ascii="Times New Roman" w:hAnsi="Times New Roman" w:cs="Times New Roman" w:eastAsia="Times New Roman"/>
                      <w:b w:val="0"/>
                      <w:i/>
                      <w:smallCaps w:val="0"/>
                      <w:sz w:val="13"/>
                    </w:rPr>
                    <w:t>Referencia: v2 de 20 épocas, semilla 42, sin TTA, separación por distancia (Dice 0,7453; IoU 0,6828). (*) Contra la referencia de semilla 1337 (0,7446)</w:t>
                  </w:r>
                </w:p>
              </w:tc>
            </w:tr>
            <w:tr>
              <w:trPr>
                <w:cantSplit/>
              </w:trPr>
              <w:tc>
                <w:tcPr>
                  <w:tcW w:type="dxa" w:w="33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Misma configuración, semilla 1337 (control)</w:t>
                  </w:r>
                </w:p>
              </w:tc>
              <w:tc>
                <w:tcPr>
                  <w:tcW w:type="dxa" w:w="115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0,7446</w:t>
                  </w:r>
                </w:p>
              </w:tc>
              <w:tc>
                <w:tcPr>
                  <w:tcW w:type="dxa" w:w="1325"/>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−0,0007</w:t>
                  </w:r>
                </w:p>
              </w:tc>
              <w:tc>
                <w:tcPr>
                  <w:tcW w:type="dxa" w:w="86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−0,12</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3/5</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−0,023</w:t>
                  </w:r>
                </w:p>
              </w:tc>
              <w:tc>
                <w:tcPr>
                  <w:tcW w:type="dxa" w:w="2016"/>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mide el ruido</w:t>
                  </w:r>
                </w:p>
              </w:tc>
            </w:tr>
            <w:tr>
              <w:trPr>
                <w:cantSplit/>
              </w:trPr>
              <w:tc>
                <w:tcPr>
                  <w:tcW w:type="dxa" w:w="33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Repetir ×3 cortes con secundarios</w:t>
                  </w:r>
                </w:p>
              </w:tc>
              <w:tc>
                <w:tcPr>
                  <w:tcW w:type="dxa" w:w="115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0,7540</w:t>
                  </w:r>
                </w:p>
              </w:tc>
              <w:tc>
                <w:tcPr>
                  <w:tcW w:type="dxa" w:w="1325"/>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+0,0087</w:t>
                  </w:r>
                </w:p>
              </w:tc>
              <w:tc>
                <w:tcPr>
                  <w:tcW w:type="dxa" w:w="86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0,94</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3/5</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+0,004</w:t>
                  </w:r>
                </w:p>
              </w:tc>
              <w:tc>
                <w:tcPr>
                  <w:tcW w:type="dxa" w:w="2016"/>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descartado: ruido</w:t>
                  </w:r>
                </w:p>
              </w:tc>
            </w:tr>
            <w:tr>
              <w:trPr>
                <w:cantSplit/>
              </w:trPr>
              <w:tc>
                <w:tcPr>
                  <w:tcW w:type="dxa" w:w="33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Sin transfer learning · semilla 42 / 1337 (*)</w:t>
                  </w:r>
                </w:p>
              </w:tc>
              <w:tc>
                <w:tcPr>
                  <w:tcW w:type="dxa" w:w="115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0,7594 / 0,7522</w:t>
                  </w:r>
                </w:p>
              </w:tc>
              <w:tc>
                <w:tcPr>
                  <w:tcW w:type="dxa" w:w="1325"/>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+0,0141 / +0,0076</w:t>
                  </w:r>
                </w:p>
              </w:tc>
              <w:tc>
                <w:tcPr>
                  <w:tcW w:type="dxa" w:w="86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1,04 / 0,60</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3/5 · 3/5</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+0,004 / +0,027</w:t>
                  </w:r>
                </w:p>
              </w:tc>
              <w:tc>
                <w:tcPr>
                  <w:tcW w:type="dxa" w:w="2016"/>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sin efecto (10 pares: t 1,23)</w:t>
                  </w:r>
                </w:p>
              </w:tc>
            </w:tr>
            <w:tr>
              <w:trPr>
                <w:cantSplit/>
              </w:trPr>
              <w:tc>
                <w:tcPr>
                  <w:tcW w:type="dxa" w:w="33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Sin CBAM</w:t>
                  </w:r>
                </w:p>
              </w:tc>
              <w:tc>
                <w:tcPr>
                  <w:tcW w:type="dxa" w:w="115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0,7365</w:t>
                  </w:r>
                </w:p>
              </w:tc>
              <w:tc>
                <w:tcPr>
                  <w:tcW w:type="dxa" w:w="1325"/>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−0,0088</w:t>
                  </w:r>
                </w:p>
              </w:tc>
              <w:tc>
                <w:tcPr>
                  <w:tcW w:type="dxa" w:w="86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−0,92</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1/5</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−0,001</w:t>
                  </w:r>
                </w:p>
              </w:tc>
              <w:tc>
                <w:tcPr>
                  <w:tcW w:type="dxa" w:w="2016"/>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sin efecto; queda (enunciado)</w:t>
                  </w:r>
                </w:p>
              </w:tc>
            </w:tr>
            <w:tr>
              <w:trPr>
                <w:cantSplit/>
              </w:trPr>
              <w:tc>
                <w:tcPr>
                  <w:tcW w:type="dxa" w:w="33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Borde como núcleo/borde de 3 clases</w:t>
                  </w:r>
                </w:p>
              </w:tc>
              <w:tc>
                <w:tcPr>
                  <w:tcW w:type="dxa" w:w="115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0,6729</w:t>
                  </w:r>
                </w:p>
              </w:tc>
              <w:tc>
                <w:tcPr>
                  <w:tcW w:type="dxa" w:w="1325"/>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−0,0724</w:t>
                  </w:r>
                </w:p>
              </w:tc>
              <w:tc>
                <w:tcPr>
                  <w:tcW w:type="dxa" w:w="86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−3,13</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1/5</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+0,005</w:t>
                  </w:r>
                </w:p>
              </w:tc>
              <w:tc>
                <w:tcPr>
                  <w:tcW w:type="dxa" w:w="2016"/>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descartado (con distancia: +0,0008)</w:t>
                  </w:r>
                </w:p>
              </w:tc>
            </w:tr>
            <w:tr>
              <w:trPr>
                <w:cantSplit/>
              </w:trPr>
              <w:tc>
                <w:tcPr>
                  <w:tcW w:type="dxa" w:w="33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Borde como regresión de la distancia a la fractura</w:t>
                  </w:r>
                </w:p>
              </w:tc>
              <w:tc>
                <w:tcPr>
                  <w:tcW w:type="dxa" w:w="115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0,5039</w:t>
                  </w:r>
                </w:p>
              </w:tc>
              <w:tc>
                <w:tcPr>
                  <w:tcW w:type="dxa" w:w="1325"/>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−0,2414</w:t>
                  </w:r>
                </w:p>
              </w:tc>
              <w:tc>
                <w:tcPr>
                  <w:tcW w:type="dxa" w:w="86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−10,88</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0/5</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−0,006</w:t>
                  </w:r>
                </w:p>
              </w:tc>
              <w:tc>
                <w:tcPr>
                  <w:tcW w:type="dxa" w:w="2016"/>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descartado (con distancia: −0,0155)</w:t>
                  </w:r>
                </w:p>
              </w:tc>
            </w:tr>
            <w:tr>
              <w:trPr>
                <w:cantSplit/>
              </w:trPr>
              <w:tc>
                <w:tcPr>
                  <w:tcW w:type="dxa" w:w="33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Semillas solo por h-máxima</w:t>
                  </w:r>
                </w:p>
              </w:tc>
              <w:tc>
                <w:tcPr>
                  <w:tcW w:type="dxa" w:w="115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0,7600</w:t>
                  </w:r>
                </w:p>
              </w:tc>
              <w:tc>
                <w:tcPr>
                  <w:tcW w:type="dxa" w:w="1325"/>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+0,0147</w:t>
                  </w:r>
                </w:p>
              </w:tc>
              <w:tc>
                <w:tcPr>
                  <w:tcW w:type="dxa" w:w="86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1,01</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4/5</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−0,043</w:t>
                  </w:r>
                </w:p>
              </w:tc>
              <w:tc>
                <w:tcPr>
                  <w:tcW w:type="dxa" w:w="2016"/>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descartado: parte el principal</w:t>
                  </w:r>
                </w:p>
              </w:tc>
            </w:tr>
            <w:tr>
              <w:trPr>
                <w:cantSplit/>
              </w:trPr>
              <w:tc>
                <w:tcPr>
                  <w:tcW w:type="dxa" w:w="33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Distancia + rescate h-máx. (F2C2), h 1,0 · 42 / 1337 (*)</w:t>
                  </w:r>
                </w:p>
              </w:tc>
              <w:tc>
                <w:tcPr>
                  <w:tcW w:type="dxa" w:w="115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0,7723 / 0,7635</w:t>
                  </w:r>
                </w:p>
              </w:tc>
              <w:tc>
                <w:tcPr>
                  <w:tcW w:type="dxa" w:w="1325"/>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+0,0270 / +0,0199</w:t>
                  </w:r>
                </w:p>
              </w:tc>
              <w:tc>
                <w:tcPr>
                  <w:tcW w:type="dxa" w:w="86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2,27 / 2,35</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5/5 · 4/5</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−0,009 / −0,011</w:t>
                  </w:r>
                </w:p>
              </w:tc>
              <w:tc>
                <w:tcPr>
                  <w:tcW w:type="dxa" w:w="2016"/>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no: réplica pasa el límite 0,010</w:t>
                  </w:r>
                </w:p>
              </w:tc>
            </w:tr>
            <w:tr>
              <w:trPr>
                <w:cantSplit/>
              </w:trPr>
              <w:tc>
                <w:tcPr>
                  <w:tcW w:type="dxa" w:w="33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F2C2, h 1,5 · 42 / 1337 (*)</w:t>
                  </w:r>
                </w:p>
              </w:tc>
              <w:tc>
                <w:tcPr>
                  <w:tcW w:type="dxa" w:w="115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0,7744 / 0,7717</w:t>
                  </w:r>
                </w:p>
              </w:tc>
              <w:tc>
                <w:tcPr>
                  <w:tcW w:type="dxa" w:w="1325"/>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+0,0291 / +0,0281</w:t>
                  </w:r>
                </w:p>
              </w:tc>
              <w:tc>
                <w:tcPr>
                  <w:tcW w:type="dxa" w:w="86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2,19 / 3,24</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4/5 · 5/5</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−0,010 / −0,010</w:t>
                  </w:r>
                </w:p>
              </w:tc>
              <w:tc>
                <w:tcPr>
                  <w:tcW w:type="dxa" w:w="2016"/>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se retoma con TTA</w:t>
                  </w:r>
                </w:p>
              </w:tc>
            </w:tr>
            <w:tr>
              <w:trPr>
                <w:cantSplit/>
              </w:trPr>
              <w:tc>
                <w:tcPr>
                  <w:tcW w:type="dxa" w:w="33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Ensamble de 2 semillas / de 6 modelos</w:t>
                  </w:r>
                </w:p>
              </w:tc>
              <w:tc>
                <w:tcPr>
                  <w:tcW w:type="dxa" w:w="115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0,7570 / 0,7788</w:t>
                  </w:r>
                </w:p>
              </w:tc>
              <w:tc>
                <w:tcPr>
                  <w:tcW w:type="dxa" w:w="1325"/>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+0,0117 / +0,0335</w:t>
                  </w:r>
                </w:p>
              </w:tc>
              <w:tc>
                <w:tcPr>
                  <w:tcW w:type="dxa" w:w="86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1,75 / 4,19</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3/5 · 5/5</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+0,002 / +0,009</w:t>
                  </w:r>
                </w:p>
              </w:tc>
              <w:tc>
                <w:tcPr>
                  <w:tcW w:type="dxa" w:w="2016"/>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descartado: varios backbones</w:t>
                  </w:r>
                </w:p>
              </w:tc>
            </w:tr>
            <w:tr>
              <w:trPr>
                <w:cantSplit/>
              </w:trPr>
              <w:tc>
                <w:tcPr>
                  <w:tcW w:type="dxa" w:w="33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Ensamble de 2 / de 6 + F2C2</w:t>
                  </w:r>
                </w:p>
              </w:tc>
              <w:tc>
                <w:tcPr>
                  <w:tcW w:type="dxa" w:w="115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0,7849 / 0,7975</w:t>
                  </w:r>
                </w:p>
              </w:tc>
              <w:tc>
                <w:tcPr>
                  <w:tcW w:type="dxa" w:w="1325"/>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+0,0396 / +0,0522</w:t>
                  </w:r>
                </w:p>
              </w:tc>
              <w:tc>
                <w:tcPr>
                  <w:tcW w:type="dxa" w:w="86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3,77 / 3,28</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5/5 · 5/5</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−0,009 / −0,005</w:t>
                  </w:r>
                </w:p>
              </w:tc>
              <w:tc>
                <w:tcPr>
                  <w:tcW w:type="dxa" w:w="2016"/>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descartado: varios backbones</w:t>
                  </w:r>
                </w:p>
              </w:tc>
            </w:tr>
            <w:tr>
              <w:trPr>
                <w:cantSplit/>
              </w:trPr>
              <w:tc>
                <w:tcPr>
                  <w:tcW w:type="dxa" w:w="33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TTA de 5 pasadas · semilla 42 / 1337 (*)</w:t>
                  </w:r>
                </w:p>
              </w:tc>
              <w:tc>
                <w:tcPr>
                  <w:tcW w:type="dxa" w:w="115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0,7638 / 0,7533</w:t>
                  </w:r>
                </w:p>
              </w:tc>
              <w:tc>
                <w:tcPr>
                  <w:tcW w:type="dxa" w:w="1325"/>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+0,0185 / +0,0087</w:t>
                  </w:r>
                </w:p>
              </w:tc>
              <w:tc>
                <w:tcPr>
                  <w:tcW w:type="dxa" w:w="86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2,35 / 0,84</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4/5 · 3/5</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+0,003 / +0,026</w:t>
                  </w:r>
                </w:p>
              </w:tc>
              <w:tc>
                <w:tcPr>
                  <w:tcW w:type="dxa" w:w="2016"/>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sola no basta</w:t>
                  </w:r>
                </w:p>
              </w:tc>
            </w:tr>
            <w:tr>
              <w:trPr>
                <w:cantSplit/>
              </w:trPr>
              <w:tc>
                <w:tcPr>
                  <w:tcW w:type="dxa" w:w="3312"/>
                  <w:vAlign w:val="center"/>
                </w:tcPr>
                <w:p>
                  <w:pPr>
                    <w:keepNext/>
                    <w:widowControl/>
                    <w:spacing w:before="10" w:after="10" w:lineRule="exact" w:line="168"/>
                    <w:jc w:val="left"/>
                  </w:pPr>
                  <w:r>
                    <w:rPr>
                      <w:rFonts w:ascii="Times New Roman" w:hAnsi="Times New Roman" w:cs="Times New Roman" w:eastAsia="Times New Roman"/>
                      <w:b/>
                      <w:i w:val="0"/>
                      <w:smallCaps w:val="0"/>
                      <w:sz w:val="13"/>
                    </w:rPr>
                    <w:t>TTA de 5 pasadas + F2C2 h 1,5 · 42 / 1337 (*)</w:t>
                  </w:r>
                </w:p>
              </w:tc>
              <w:tc>
                <w:tcPr>
                  <w:tcW w:type="dxa" w:w="1152"/>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0,7922 / 0,7812</w:t>
                  </w:r>
                </w:p>
              </w:tc>
              <w:tc>
                <w:tcPr>
                  <w:tcW w:type="dxa" w:w="1325"/>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+0,0469 / +0,0366</w:t>
                  </w:r>
                </w:p>
              </w:tc>
              <w:tc>
                <w:tcPr>
                  <w:tcW w:type="dxa" w:w="864"/>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4,13 / 3,66</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5/5 · 4/5</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−0,006 / +0,016</w:t>
                  </w:r>
                </w:p>
              </w:tc>
              <w:tc>
                <w:tcPr>
                  <w:tcW w:type="dxa" w:w="2016"/>
                  <w:vAlign w:val="center"/>
                </w:tcPr>
                <w:p>
                  <w:pPr>
                    <w:keepNext/>
                    <w:widowControl/>
                    <w:spacing w:before="10" w:after="10" w:lineRule="exact" w:line="168"/>
                    <w:jc w:val="left"/>
                  </w:pPr>
                  <w:r>
                    <w:rPr>
                      <w:rFonts w:ascii="Times New Roman" w:hAnsi="Times New Roman" w:cs="Times New Roman" w:eastAsia="Times New Roman"/>
                      <w:b/>
                      <w:i w:val="0"/>
                      <w:smallCaps w:val="0"/>
                      <w:sz w:val="13"/>
                    </w:rPr>
                    <w:t>adoptado (tuned.yaml)</w:t>
                  </w:r>
                </w:p>
              </w:tc>
            </w:tr>
            <w:tr>
              <w:trPr>
                <w:cantSplit/>
              </w:trPr>
              <w:tc>
                <w:tcPr>
                  <w:tcW w:type="dxa" w:w="33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TTA de 9 pasadas + F2C2</w:t>
                  </w:r>
                </w:p>
              </w:tc>
              <w:tc>
                <w:tcPr>
                  <w:tcW w:type="dxa" w:w="115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0,7802</w:t>
                  </w:r>
                </w:p>
              </w:tc>
              <w:tc>
                <w:tcPr>
                  <w:tcW w:type="dxa" w:w="1325"/>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+0,0349</w:t>
                  </w:r>
                </w:p>
              </w:tc>
              <w:tc>
                <w:tcPr>
                  <w:tcW w:type="dxa" w:w="86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2,29</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4/5</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−0,009</w:t>
                  </w:r>
                </w:p>
              </w:tc>
              <w:tc>
                <w:tcPr>
                  <w:tcW w:type="dxa" w:w="2016"/>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descartado: −0,012 vs TTA 5</w:t>
                  </w:r>
                </w:p>
              </w:tc>
            </w:tr>
            <w:tr>
              <w:trPr>
                <w:cantSplit/>
              </w:trPr>
              <w:tc>
                <w:tcPr>
                  <w:tcW w:type="dxa" w:w="10454"/>
                  <w:gridSpan w:val="7"/>
                  <w:tcBorders>
                    <w:top w:val="single" w:sz="4" w:space="0" w:color="000000"/>
                  </w:tcBorders>
                  <w:shd w:val="clear" w:color="auto" w:fill="F0F0F0"/>
                  <w:vAlign w:val="center"/>
                </w:tcPr>
                <w:p>
                  <w:pPr>
                    <w:keepNext/>
                    <w:widowControl/>
                    <w:spacing w:before="10" w:after="10" w:lineRule="exact" w:line="168"/>
                    <w:jc w:val="left"/>
                  </w:pPr>
                  <w:r>
                    <w:rPr>
                      <w:rFonts w:ascii="Times New Roman" w:hAnsi="Times New Roman" w:cs="Times New Roman" w:eastAsia="Times New Roman"/>
                      <w:b w:val="0"/>
                      <w:i/>
                      <w:smallCaps w:val="0"/>
                      <w:sz w:val="13"/>
                    </w:rPr>
                    <w:t>Referencia: configuración final en CV, TTA 5 + F2C2 (Dice 0,792; IoU 0,717)</w:t>
                  </w:r>
                </w:p>
              </w:tc>
            </w:tr>
            <w:tr>
              <w:trPr>
                <w:cantSplit/>
              </w:trPr>
              <w:tc>
                <w:tcPr>
                  <w:tcW w:type="dxa" w:w="33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Afinar solo la segmentación 8 épocas, resto congelado</w:t>
                  </w:r>
                </w:p>
              </w:tc>
              <w:tc>
                <w:tcPr>
                  <w:tcW w:type="dxa" w:w="115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0,777</w:t>
                  </w:r>
                </w:p>
              </w:tc>
              <w:tc>
                <w:tcPr>
                  <w:tcW w:type="dxa" w:w="1325"/>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−0,015</w:t>
                  </w:r>
                </w:p>
              </w:tc>
              <w:tc>
                <w:tcPr>
                  <w:tcW w:type="dxa" w:w="86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−5,21</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0/5</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−0,003</w:t>
                  </w:r>
                </w:p>
              </w:tc>
              <w:tc>
                <w:tcPr>
                  <w:tcW w:type="dxa" w:w="2016"/>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descartado: congelar empeora</w:t>
                  </w:r>
                </w:p>
              </w:tc>
            </w:tr>
            <w:tr>
              <w:trPr>
                <w:cantSplit/>
              </w:trPr>
              <w:tc>
                <w:tcPr>
                  <w:tcW w:type="dxa" w:w="33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Control: entrenar todo el modelo las mismas 8 épocas</w:t>
                  </w:r>
                </w:p>
              </w:tc>
              <w:tc>
                <w:tcPr>
                  <w:tcW w:type="dxa" w:w="115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0,790</w:t>
                  </w:r>
                </w:p>
              </w:tc>
              <w:tc>
                <w:tcPr>
                  <w:tcW w:type="dxa" w:w="1325"/>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−0,002</w:t>
                  </w:r>
                </w:p>
              </w:tc>
              <w:tc>
                <w:tcPr>
                  <w:tcW w:type="dxa" w:w="86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−0,35</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3/5</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0,000</w:t>
                  </w:r>
                </w:p>
              </w:tc>
              <w:tc>
                <w:tcPr>
                  <w:tcW w:type="dxa" w:w="2016"/>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sin cambio</w:t>
                  </w:r>
                </w:p>
              </w:tc>
            </w:tr>
            <w:tr>
              <w:trPr>
                <w:cantSplit/>
              </w:trPr>
              <w:tc>
                <w:tcPr>
                  <w:tcW w:type="dxa" w:w="33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EMA 0,999 contra el mismo modelo sin EMA</w:t>
                  </w:r>
                </w:p>
              </w:tc>
              <w:tc>
                <w:tcPr>
                  <w:tcW w:type="dxa" w:w="115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w:t>
                  </w:r>
                </w:p>
              </w:tc>
              <w:tc>
                <w:tcPr>
                  <w:tcW w:type="dxa" w:w="1325"/>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0,000</w:t>
                  </w:r>
                </w:p>
              </w:tc>
              <w:tc>
                <w:tcPr>
                  <w:tcW w:type="dxa" w:w="86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0,02</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2/5</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0,000</w:t>
                  </w:r>
                </w:p>
              </w:tc>
              <w:tc>
                <w:tcPr>
                  <w:tcW w:type="dxa" w:w="2016"/>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descartada: sin efecto</w:t>
                  </w:r>
                </w:p>
              </w:tc>
            </w:tr>
            <w:tr>
              <w:trPr>
                <w:cantSplit/>
              </w:trPr>
              <w:tc>
                <w:tcPr>
                  <w:tcW w:type="dxa" w:w="33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Ajuste fino: min_fragment, seed_min; profundidad 5,5 mm</w:t>
                  </w:r>
                </w:p>
              </w:tc>
              <w:tc>
                <w:tcPr>
                  <w:tcW w:type="dxa" w:w="115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 0,7922; 0,7955</w:t>
                  </w:r>
                </w:p>
              </w:tc>
              <w:tc>
                <w:tcPr>
                  <w:tcW w:type="dxa" w:w="1325"/>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 0; +0,009</w:t>
                  </w:r>
                </w:p>
              </w:tc>
              <w:tc>
                <w:tcPr>
                  <w:tcW w:type="dxa" w:w="86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 / baja</w:t>
                  </w:r>
                </w:p>
              </w:tc>
              <w:tc>
                <w:tcPr>
                  <w:tcW w:type="dxa" w:w="2016"/>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sin efecto; ΔIoU +0,003 mixto</w:t>
                  </w:r>
                </w:p>
              </w:tc>
            </w:tr>
            <w:tr>
              <w:trPr>
                <w:cantSplit/>
              </w:trPr>
              <w:tc>
                <w:tcPr>
                  <w:tcW w:type="dxa" w:w="10454"/>
                  <w:gridSpan w:val="7"/>
                  <w:tcBorders>
                    <w:top w:val="single" w:sz="4" w:space="0" w:color="000000"/>
                  </w:tcBorders>
                  <w:shd w:val="clear" w:color="auto" w:fill="F0F0F0"/>
                  <w:vAlign w:val="center"/>
                </w:tcPr>
                <w:p>
                  <w:pPr>
                    <w:keepNext/>
                    <w:widowControl/>
                    <w:spacing w:before="10" w:after="10" w:lineRule="exact" w:line="168"/>
                    <w:jc w:val="left"/>
                  </w:pPr>
                  <w:r>
                    <w:rPr>
                      <w:rFonts w:ascii="Times New Roman" w:hAnsi="Times New Roman" w:cs="Times New Roman" w:eastAsia="Times New Roman"/>
                      <w:b w:val="0"/>
                      <w:i/>
                      <w:smallCaps w:val="0"/>
                      <w:sz w:val="13"/>
                    </w:rPr>
                    <w:t>Referencia: la misma configuración sin cierre, contra la etiqueta nativa (85 casos, 2 semillas)</w:t>
                  </w:r>
                </w:p>
              </w:tc>
            </w:tr>
            <w:tr>
              <w:trPr>
                <w:cantSplit/>
              </w:trPr>
              <w:tc>
                <w:tcPr>
                  <w:tcW w:type="dxa" w:w="33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Cierre morfológico del hueco, radio 1,5-3 mm</w:t>
                  </w:r>
                </w:p>
              </w:tc>
              <w:tc>
                <w:tcPr>
                  <w:tcW w:type="dxa" w:w="115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0,7727-0,7858</w:t>
                  </w:r>
                </w:p>
              </w:tc>
              <w:tc>
                <w:tcPr>
                  <w:tcW w:type="dxa" w:w="1325"/>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−0,0002 a −0,0023</w:t>
                  </w:r>
                </w:p>
              </w:tc>
              <w:tc>
                <w:tcPr>
                  <w:tcW w:type="dxa" w:w="86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0/5</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w:t>
                  </w:r>
                </w:p>
              </w:tc>
              <w:tc>
                <w:tcPr>
                  <w:tcW w:type="dxa" w:w="2016"/>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descartado: túneles −30-50 %</w:t>
                  </w:r>
                </w:p>
              </w:tc>
            </w:tr>
            <w:tr>
              <w:trPr>
                <w:cantSplit/>
              </w:trPr>
              <w:tc>
                <w:tcPr>
                  <w:tcW w:type="dxa" w:w="33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Cierre solo en coxales, radio 5-7 mm</w:t>
                  </w:r>
                </w:p>
              </w:tc>
              <w:tc>
                <w:tcPr>
                  <w:tcW w:type="dxa" w:w="115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0,7716-0,7839</w:t>
                  </w:r>
                </w:p>
              </w:tc>
              <w:tc>
                <w:tcPr>
                  <w:tcW w:type="dxa" w:w="1325"/>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−0,0021 a −0,0035</w:t>
                  </w:r>
                </w:p>
              </w:tc>
              <w:tc>
                <w:tcPr>
                  <w:tcW w:type="dxa" w:w="86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0/5</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w:t>
                  </w:r>
                </w:p>
              </w:tc>
              <w:tc>
                <w:tcPr>
                  <w:tcW w:type="dxa" w:w="2016"/>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descartado: el hueco sigue</w:t>
                  </w:r>
                </w:p>
              </w:tc>
            </w:tr>
          </w:tbl>
          <w:p>
            <w:pPr>
              <w:keepNext w:val="0"/>
              <w:widowControl/>
              <w:spacing w:before="20" w:after="0" w:lineRule="exact" w:line="40"/>
              <w:jc w:val="both"/>
            </w:pPr>
          </w:p>
        </w:tc>
      </w:tr>
    </w:tbl>
    <w:p>
      <w:pPr>
        <w:keepNext/>
        <w:widowControl/>
        <w:spacing w:before="60" w:after="20" w:line="240" w:lineRule="auto"/>
        <w:jc w:val="left"/>
      </w:pPr>
      <w:r>
        <w:rPr>
          <w:rFonts w:ascii="Times New Roman" w:hAnsi="Times New Roman" w:cs="Times New Roman" w:eastAsia="Times New Roman"/>
          <w:b w:val="0"/>
          <w:i/>
          <w:smallCaps w:val="0"/>
          <w:sz w:val="20"/>
        </w:rPr>
        <w:t>C. Confirmación en 5 folds</w:t>
      </w:r>
    </w:p>
    <w:p>
      <w:pPr>
        <w:keepNext w:val="0"/>
        <w:widowControl/>
        <w:spacing w:before="0" w:after="0" w:line="240" w:lineRule="auto"/>
        <w:ind w:firstLine="202"/>
        <w:jc w:val="both"/>
      </w:pPr>
      <w:r>
        <w:rPr>
          <w:rFonts w:ascii="Times New Roman" w:hAnsi="Times New Roman" w:cs="Times New Roman" w:eastAsia="Times New Roman"/>
          <w:b w:val="0"/>
          <w:i w:val="0"/>
          <w:smallCaps w:val="0"/>
          <w:sz w:val="20"/>
        </w:rPr>
        <w:t>En la confirmación (Tabla IV) ningún cambio de entrenamiento ni de arquitectura supera el ruido. Sin CBAM o sin transfer learning (TL) el Dice no cambia; el efecto del TL depende del paciente, no de la semilla (el fold 1 gana sin TL con las dos semillas y los folds 3-4 pierden con las dos). Las dos representaciones nuevas del borde empeoran con su método, pero esos modelos con la separación por distancia igualan a la referencia: falló la representación, no el aprendizaje. Afinar solo la segmentación con el resto congelado, sugerido en el avance del 9 de octubre, empeora (</w:t>
      </w:r>
      <w:r>
        <w:rPr>
          <w:rFonts w:ascii="Times New Roman" w:hAnsi="Times New Roman" w:cs="Times New Roman" w:eastAsia="Times New Roman"/>
          <w:b w:val="0"/>
          <w:i/>
          <w:smallCaps w:val="0"/>
          <w:sz w:val="20"/>
        </w:rPr>
        <w:t>t</w:t>
      </w:r>
      <w:r>
        <w:rPr>
          <w:rFonts w:ascii="Times New Roman" w:hAnsi="Times New Roman" w:cs="Times New Roman" w:eastAsia="Times New Roman"/>
          <w:b w:val="0"/>
          <w:i w:val="0"/>
          <w:smallCaps w:val="0"/>
          <w:sz w:val="20"/>
        </w:rPr>
        <w:t xml:space="preserve"> = −5,2): con el backbone fijo la pérdida de borde baja en entrenamiento (0,223 a 0,208) y sube en validación (0,424 a 0,429). Lo que sí superó el ruido fue no perder semillas y promediar: TTA 5 + F2C2 da +0,047 (</w:t>
      </w:r>
      <w:r>
        <w:rPr>
          <w:rFonts w:ascii="Times New Roman" w:hAnsi="Times New Roman" w:cs="Times New Roman" w:eastAsia="Times New Roman"/>
          <w:b w:val="0"/>
          <w:i/>
          <w:smallCaps w:val="0"/>
          <w:sz w:val="20"/>
        </w:rPr>
        <w:t>t</w:t>
      </w:r>
      <w:r>
        <w:rPr>
          <w:rFonts w:ascii="Times New Roman" w:hAnsi="Times New Roman" w:cs="Times New Roman" w:eastAsia="Times New Roman"/>
          <w:b w:val="0"/>
          <w:i w:val="0"/>
          <w:smallCaps w:val="0"/>
          <w:sz w:val="20"/>
        </w:rPr>
        <w:t xml:space="preserve"> = 4,1, 5/5) y +0,037 con la otra semilla. F2C2 solo no se había adoptado porque una réplica pasó por 0,0012 el límite fijado para el principal; su adopción junto con TTA se declara posterior a ver los datos. El ensamble de seis modelos (0,798) se descartó porque el enunciado pide un mismo backbone.</w:t>
      </w:r>
    </w:p>
    <w:p>
      <w:pPr>
        <w:keepNext/>
        <w:widowControl/>
        <w:spacing w:before="120" w:after="40" w:line="240" w:lineRule="auto"/>
        <w:jc w:val="center"/>
      </w:pPr>
      <w:r>
        <w:rPr>
          <w:rFonts w:ascii="Times New Roman" w:hAnsi="Times New Roman" w:cs="Times New Roman" w:eastAsia="Times New Roman"/>
          <w:b w:val="0"/>
          <w:i w:val="0"/>
          <w:smallCaps/>
          <w:sz w:val="20"/>
        </w:rPr>
        <w:t>VI. Resultados en test</w:t>
      </w:r>
    </w:p>
    <w:p>
      <w:pPr>
        <w:keepNext w:val="0"/>
        <w:widowControl/>
        <w:spacing w:before="0" w:after="0" w:line="240" w:lineRule="auto"/>
        <w:ind w:firstLine="202"/>
        <w:jc w:val="both"/>
      </w:pPr>
      <w:r>
        <w:rPr>
          <w:rFonts w:ascii="Times New Roman" w:hAnsi="Times New Roman" w:cs="Times New Roman" w:eastAsia="Times New Roman"/>
          <w:b w:val="0"/>
          <w:i w:val="0"/>
          <w:smallCaps w:val="0"/>
          <w:sz w:val="20"/>
        </w:rPr>
        <w:t>La Tabla V compara tres versiones del modelo en el mismo test; TTA no cambia clasificación ni detección. En la prueba de estrés, con todos los cortes, el mAP@0,5 sigue en 0,980, baja a 0,972 si cuentan las cajas menores de 4 px y cae a 0,234 con las cajas de otro paciente: la cifra no viene de la forma de evaluar. Con 15 pacientes, el bootstrap por paciente (5000 réplicas) deja el 0,85 de Dice fuera del intervalo; el del IoU contiene el 0,70 y el 48 % de las réplicas lo supera, así que no se puede afirmar que se cumpla ni que no. En la misma grilla nativa la configuración final da 0,786 en CV y 0,768 en test, caída compatible con elegir la mejor entre muchas variantes.</w:t>
      </w:r>
    </w:p>
    <w:p>
      <w:pPr>
        <w:keepNext/>
        <w:widowControl/>
        <w:spacing w:before="120" w:after="0" w:line="240" w:lineRule="auto"/>
        <w:jc w:val="center"/>
      </w:pPr>
      <w:r>
        <w:rPr>
          <w:rFonts w:ascii="Times New Roman" w:hAnsi="Times New Roman" w:cs="Times New Roman" w:eastAsia="Times New Roman"/>
          <w:b w:val="0"/>
          <w:i w:val="0"/>
          <w:smallCaps/>
          <w:sz w:val="16"/>
        </w:rPr>
        <w:t>Tabla V</w:t>
      </w:r>
    </w:p>
    <w:p>
      <w:pPr>
        <w:keepNext/>
        <w:widowControl/>
        <w:spacing w:before="0" w:after="40" w:line="240" w:lineRule="auto"/>
        <w:jc w:val="center"/>
      </w:pPr>
      <w:r>
        <w:rPr>
          <w:rFonts w:ascii="Times New Roman" w:hAnsi="Times New Roman" w:cs="Times New Roman" w:eastAsia="Times New Roman"/>
          <w:b w:val="0"/>
          <w:i w:val="0"/>
          <w:smallCaps/>
          <w:sz w:val="16"/>
        </w:rPr>
        <w:t>Test (15 pacientes, grilla nativa) por versión del modelo</w:t>
      </w:r>
    </w:p>
    <w:tbl>
      <w:tblPr>
        <w:jc w:val="center"/>
        <w:tblLayout w:type="fixed"/>
        <w:tblLook w:firstColumn="1" w:firstRow="1" w:lastColumn="0" w:lastRow="0" w:noHBand="0" w:noVBand="1" w:val="04A0"/>
        <w:tblLayout w:type="fixed"/>
        <w:tblW w:w="5356" w:type="dxa"/>
        <w:tblBorders>
          <w:top w:val="single" w:sz="8" w:space="0" w:color="000000"/>
          <w:left w:val="nil"/>
          <w:bottom w:val="single" w:sz="8" w:space="0" w:color="000000"/>
          <w:right w:val="nil"/>
          <w:insideH w:val="nil"/>
          <w:insideV w:val="nil"/>
        </w:tblBorders>
        <w:tblCellMar>
          <w:top w:w="0" w:type="dxa"/>
          <w:left w:w="45" w:type="dxa"/>
          <w:bottom w:w="0" w:type="dxa"/>
          <w:right w:w="45" w:type="dxa"/>
        </w:tblCellMar>
      </w:tblPr>
      <w:tblGrid>
        <w:gridCol w:w="1512"/>
        <w:gridCol w:w="576"/>
        <w:gridCol w:w="792"/>
        <w:gridCol w:w="792"/>
        <w:gridCol w:w="648"/>
        <w:gridCol w:w="1036"/>
      </w:tblGrid>
      <w:tr>
        <w:trPr>
          <w:cantSplit/>
          <w:tblHeader/>
        </w:trPr>
        <w:tc>
          <w:tcPr>
            <w:tcW w:type="dxa" w:w="1512"/>
            <w:tcBorders>
              <w:bottom w:val="single" w:sz="4" w:space="0" w:color="000000"/>
            </w:tcBorders>
            <w:vAlign w:val="center"/>
          </w:tcPr>
          <w:p>
            <w:pPr>
              <w:keepNext/>
              <w:widowControl/>
              <w:spacing w:before="10" w:after="10" w:lineRule="exact" w:line="168"/>
              <w:jc w:val="left"/>
            </w:pPr>
            <w:r>
              <w:rPr>
                <w:rFonts w:ascii="Times New Roman" w:hAnsi="Times New Roman" w:cs="Times New Roman" w:eastAsia="Times New Roman"/>
                <w:b/>
                <w:i w:val="0"/>
                <w:smallCaps w:val="0"/>
                <w:sz w:val="13"/>
              </w:rPr>
              <w:t>Métrica</w:t>
            </w:r>
          </w:p>
        </w:tc>
        <w:tc>
          <w:tcPr>
            <w:tcW w:type="dxa" w:w="576"/>
            <w:tcBorders>
              <w:bottom w:val="single" w:sz="4" w:space="0" w:color="000000"/>
            </w:tcBorders>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Meta</w:t>
            </w:r>
          </w:p>
        </w:tc>
        <w:tc>
          <w:tcPr>
            <w:tcW w:type="dxa" w:w="792"/>
            <w:tcBorders>
              <w:bottom w:val="single" w:sz="4" w:space="0" w:color="000000"/>
            </w:tcBorders>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Base, solo borde</w:t>
            </w:r>
          </w:p>
        </w:tc>
        <w:tc>
          <w:tcPr>
            <w:tcW w:type="dxa" w:w="792"/>
            <w:tcBorders>
              <w:bottom w:val="single" w:sz="4" w:space="0" w:color="000000"/>
            </w:tcBorders>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v2 + distancia</w:t>
            </w:r>
          </w:p>
        </w:tc>
        <w:tc>
          <w:tcPr>
            <w:tcW w:type="dxa" w:w="648"/>
            <w:tcBorders>
              <w:bottom w:val="single" w:sz="4" w:space="0" w:color="000000"/>
            </w:tcBorders>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Final</w:t>
            </w:r>
          </w:p>
        </w:tc>
        <w:tc>
          <w:tcPr>
            <w:tcW w:type="dxa" w:w="1037"/>
            <w:tcBorders>
              <w:bottom w:val="single" w:sz="4" w:space="0" w:color="000000"/>
            </w:tcBorders>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IC95 final</w:t>
            </w:r>
          </w:p>
        </w:tc>
      </w:tr>
      <w:tr>
        <w:trPr>
          <w:cantSplit/>
        </w:trPr>
        <w:tc>
          <w:tcPr>
            <w:tcW w:type="dxa" w:w="15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F1 clasificación</w:t>
            </w:r>
          </w:p>
        </w:tc>
        <w:tc>
          <w:tcPr>
            <w:tcW w:type="dxa" w:w="57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 0,85</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0,993</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0,993</w:t>
            </w:r>
          </w:p>
        </w:tc>
        <w:tc>
          <w:tcPr>
            <w:tcW w:type="dxa" w:w="648"/>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0,993</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w:t>
            </w:r>
          </w:p>
        </w:tc>
      </w:tr>
      <w:tr>
        <w:trPr>
          <w:cantSplit/>
        </w:trPr>
        <w:tc>
          <w:tcPr>
            <w:tcW w:type="dxa" w:w="15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AUC clasificación</w:t>
            </w:r>
          </w:p>
        </w:tc>
        <w:tc>
          <w:tcPr>
            <w:tcW w:type="dxa" w:w="57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 0,85</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0,999</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0,999</w:t>
            </w:r>
          </w:p>
        </w:tc>
        <w:tc>
          <w:tcPr>
            <w:tcW w:type="dxa" w:w="648"/>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0,999</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w:t>
            </w:r>
          </w:p>
        </w:tc>
      </w:tr>
      <w:tr>
        <w:trPr>
          <w:cantSplit/>
        </w:trPr>
        <w:tc>
          <w:tcPr>
            <w:tcW w:type="dxa" w:w="15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IoU de caja</w:t>
            </w:r>
          </w:p>
        </w:tc>
        <w:tc>
          <w:tcPr>
            <w:tcW w:type="dxa" w:w="57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 0,65</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0,911</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0,919</w:t>
            </w:r>
          </w:p>
        </w:tc>
        <w:tc>
          <w:tcPr>
            <w:tcW w:type="dxa" w:w="648"/>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0,919</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w:t>
            </w:r>
          </w:p>
        </w:tc>
      </w:tr>
      <w:tr>
        <w:trPr>
          <w:cantSplit/>
        </w:trPr>
        <w:tc>
          <w:tcPr>
            <w:tcW w:type="dxa" w:w="15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mAP@0,5</w:t>
            </w:r>
          </w:p>
        </w:tc>
        <w:tc>
          <w:tcPr>
            <w:tcW w:type="dxa" w:w="57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 0,65</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0,977</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0,980</w:t>
            </w:r>
          </w:p>
        </w:tc>
        <w:tc>
          <w:tcPr>
            <w:tcW w:type="dxa" w:w="648"/>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0,980</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w:t>
            </w:r>
          </w:p>
        </w:tc>
      </w:tr>
      <w:tr>
        <w:trPr>
          <w:cantSplit/>
        </w:trPr>
        <w:tc>
          <w:tcPr>
            <w:tcW w:type="dxa" w:w="15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mAP@[0,5:0,95]</w:t>
            </w:r>
          </w:p>
        </w:tc>
        <w:tc>
          <w:tcPr>
            <w:tcW w:type="dxa" w:w="57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 0,40</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0,841</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0,864</w:t>
            </w:r>
          </w:p>
        </w:tc>
        <w:tc>
          <w:tcPr>
            <w:tcW w:type="dxa" w:w="648"/>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0,864</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w:t>
            </w:r>
          </w:p>
        </w:tc>
      </w:tr>
      <w:tr>
        <w:trPr>
          <w:cantSplit/>
        </w:trPr>
        <w:tc>
          <w:tcPr>
            <w:tcW w:type="dxa" w:w="1512"/>
            <w:vAlign w:val="center"/>
          </w:tcPr>
          <w:p>
            <w:pPr>
              <w:keepNext/>
              <w:widowControl/>
              <w:spacing w:before="10" w:after="10" w:lineRule="exact" w:line="168"/>
              <w:jc w:val="left"/>
            </w:pPr>
            <w:r>
              <w:rPr>
                <w:rFonts w:ascii="Times New Roman" w:hAnsi="Times New Roman" w:cs="Times New Roman" w:eastAsia="Times New Roman"/>
                <w:b/>
                <w:i w:val="0"/>
                <w:smallCaps w:val="0"/>
                <w:sz w:val="13"/>
              </w:rPr>
              <w:t>Dice por fragmento</w:t>
            </w:r>
          </w:p>
        </w:tc>
        <w:tc>
          <w:tcPr>
            <w:tcW w:type="dxa" w:w="576"/>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 0,85</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0,545</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0,725</w:t>
            </w:r>
          </w:p>
        </w:tc>
        <w:tc>
          <w:tcPr>
            <w:tcW w:type="dxa" w:w="648"/>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0,768</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[0,702; 0,827]</w:t>
            </w:r>
          </w:p>
        </w:tc>
      </w:tr>
      <w:tr>
        <w:trPr>
          <w:cantSplit/>
        </w:trPr>
        <w:tc>
          <w:tcPr>
            <w:tcW w:type="dxa" w:w="1512"/>
            <w:vAlign w:val="center"/>
          </w:tcPr>
          <w:p>
            <w:pPr>
              <w:keepNext/>
              <w:widowControl/>
              <w:spacing w:before="10" w:after="10" w:lineRule="exact" w:line="168"/>
              <w:jc w:val="left"/>
            </w:pPr>
            <w:r>
              <w:rPr>
                <w:rFonts w:ascii="Times New Roman" w:hAnsi="Times New Roman" w:cs="Times New Roman" w:eastAsia="Times New Roman"/>
                <w:b/>
                <w:i w:val="0"/>
                <w:smallCaps w:val="0"/>
                <w:sz w:val="13"/>
              </w:rPr>
              <w:t>IoU por fragmento</w:t>
            </w:r>
          </w:p>
        </w:tc>
        <w:tc>
          <w:tcPr>
            <w:tcW w:type="dxa" w:w="576"/>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 0,70</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0,505</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0,671</w:t>
            </w:r>
          </w:p>
        </w:tc>
        <w:tc>
          <w:tcPr>
            <w:tcW w:type="dxa" w:w="648"/>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0,697</w:t>
            </w:r>
          </w:p>
        </w:tc>
        <w:tc>
          <w:tcPr>
            <w:tcW w:type="dxa" w:w="1037"/>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[0,636; 0,753]</w:t>
            </w:r>
          </w:p>
        </w:tc>
      </w:tr>
      <w:tr>
        <w:trPr>
          <w:cantSplit/>
        </w:trPr>
        <w:tc>
          <w:tcPr>
            <w:tcW w:type="dxa" w:w="15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Dice principal (45)</w:t>
            </w:r>
          </w:p>
        </w:tc>
        <w:tc>
          <w:tcPr>
            <w:tcW w:type="dxa" w:w="57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0,921</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0,930</w:t>
            </w:r>
          </w:p>
        </w:tc>
        <w:tc>
          <w:tcPr>
            <w:tcW w:type="dxa" w:w="648"/>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0,924</w:t>
            </w:r>
          </w:p>
        </w:tc>
        <w:tc>
          <w:tcPr>
            <w:tcW w:type="dxa" w:w="1037"/>
            <w:vAlign w:val="center"/>
          </w:tcPr>
          <w:p>
            <w:pPr>
              <w:keepNext/>
              <w:widowControl/>
              <w:spacing w:before="10" w:after="10" w:lineRule="exact" w:line="168"/>
              <w:jc w:val="center"/>
            </w:pPr>
          </w:p>
        </w:tc>
      </w:tr>
      <w:tr>
        <w:trPr>
          <w:cantSplit/>
        </w:trPr>
        <w:tc>
          <w:tcPr>
            <w:tcW w:type="dxa" w:w="15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Dice secundario (39)</w:t>
            </w:r>
          </w:p>
        </w:tc>
        <w:tc>
          <w:tcPr>
            <w:tcW w:type="dxa" w:w="57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0,111</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0,489</w:t>
            </w:r>
          </w:p>
        </w:tc>
        <w:tc>
          <w:tcPr>
            <w:tcW w:type="dxa" w:w="648"/>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0,588</w:t>
            </w:r>
          </w:p>
        </w:tc>
        <w:tc>
          <w:tcPr>
            <w:tcW w:type="dxa" w:w="1037"/>
            <w:vAlign w:val="center"/>
          </w:tcPr>
          <w:p>
            <w:pPr>
              <w:keepNext/>
              <w:widowControl/>
              <w:spacing w:before="10" w:after="10" w:lineRule="exact" w:line="168"/>
              <w:jc w:val="center"/>
            </w:pPr>
          </w:p>
        </w:tc>
      </w:tr>
      <w:tr>
        <w:trPr>
          <w:cantSplit/>
        </w:trPr>
        <w:tc>
          <w:tcPr>
            <w:tcW w:type="dxa" w:w="15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Secundarios &lt; 5 cm³ (7)</w:t>
            </w:r>
          </w:p>
        </w:tc>
        <w:tc>
          <w:tcPr>
            <w:tcW w:type="dxa" w:w="57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0,222</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0,000</w:t>
            </w:r>
          </w:p>
        </w:tc>
        <w:tc>
          <w:tcPr>
            <w:tcW w:type="dxa" w:w="648"/>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0,526</w:t>
            </w:r>
          </w:p>
        </w:tc>
        <w:tc>
          <w:tcPr>
            <w:tcW w:type="dxa" w:w="1037"/>
            <w:vAlign w:val="center"/>
          </w:tcPr>
          <w:p>
            <w:pPr>
              <w:keepNext/>
              <w:widowControl/>
              <w:spacing w:before="10" w:after="10" w:lineRule="exact" w:line="168"/>
              <w:jc w:val="center"/>
            </w:pPr>
          </w:p>
        </w:tc>
      </w:tr>
      <w:tr>
        <w:trPr>
          <w:cantSplit/>
        </w:trPr>
        <w:tc>
          <w:tcPr>
            <w:tcW w:type="dxa" w:w="15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Secundarios recuperados</w:t>
            </w:r>
          </w:p>
        </w:tc>
        <w:tc>
          <w:tcPr>
            <w:tcW w:type="dxa" w:w="57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12,8 %</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51,3 %</w:t>
            </w:r>
          </w:p>
        </w:tc>
        <w:tc>
          <w:tcPr>
            <w:tcW w:type="dxa" w:w="648"/>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56,4 %</w:t>
            </w:r>
          </w:p>
        </w:tc>
        <w:tc>
          <w:tcPr>
            <w:tcW w:type="dxa" w:w="1037"/>
            <w:vAlign w:val="center"/>
          </w:tcPr>
          <w:p>
            <w:pPr>
              <w:keepNext/>
              <w:widowControl/>
              <w:spacing w:before="10" w:after="10" w:lineRule="exact" w:line="168"/>
              <w:jc w:val="center"/>
            </w:pPr>
          </w:p>
        </w:tc>
      </w:tr>
      <w:tr>
        <w:trPr>
          <w:cantSplit/>
        </w:trPr>
        <w:tc>
          <w:tcPr>
            <w:tcW w:type="dxa" w:w="15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HD95 / ASSD (mm)</w:t>
            </w:r>
          </w:p>
        </w:tc>
        <w:tc>
          <w:tcPr>
            <w:tcW w:type="dxa" w:w="57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opc.</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w:t>
            </w:r>
          </w:p>
        </w:tc>
        <w:tc>
          <w:tcPr>
            <w:tcW w:type="dxa" w:w="648"/>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11,7 / 3,3</w:t>
            </w:r>
          </w:p>
        </w:tc>
        <w:tc>
          <w:tcPr>
            <w:tcW w:type="dxa" w:w="1037"/>
            <w:vAlign w:val="center"/>
          </w:tcPr>
          <w:p>
            <w:pPr>
              <w:keepNext/>
              <w:widowControl/>
              <w:spacing w:before="10" w:after="10" w:lineRule="exact" w:line="168"/>
              <w:jc w:val="center"/>
            </w:pPr>
          </w:p>
        </w:tc>
      </w:tr>
      <w:tr>
        <w:trPr>
          <w:cantSplit/>
        </w:trPr>
        <w:tc>
          <w:tcPr>
            <w:tcW w:type="dxa" w:w="5357"/>
            <w:gridSpan w:val="6"/>
            <w:tcBorders>
              <w:top w:val="single" w:sz="4" w:space="0" w:color="000000"/>
            </w:tcBorders>
            <w:shd w:val="clear" w:color="auto" w:fill="F0F0F0"/>
            <w:vAlign w:val="center"/>
          </w:tcPr>
          <w:p>
            <w:pPr>
              <w:keepNext/>
              <w:widowControl/>
              <w:spacing w:before="10" w:after="10" w:lineRule="exact" w:line="168"/>
              <w:jc w:val="left"/>
            </w:pPr>
            <w:r>
              <w:rPr>
                <w:rFonts w:ascii="Times New Roman" w:hAnsi="Times New Roman" w:cs="Times New Roman" w:eastAsia="Times New Roman"/>
                <w:b w:val="0"/>
                <w:i/>
                <w:smallCaps w:val="0"/>
                <w:sz w:val="13"/>
              </w:rPr>
              <w:t>Distancia al principal: |predicha − real| en los secundarios recuperados (mm)</w:t>
            </w:r>
          </w:p>
        </w:tc>
      </w:tr>
      <w:tr>
        <w:trPr>
          <w:cantSplit/>
        </w:trPr>
        <w:tc>
          <w:tcPr>
            <w:tcW w:type="dxa" w:w="15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Media / mediana</w:t>
            </w:r>
          </w:p>
        </w:tc>
        <w:tc>
          <w:tcPr>
            <w:tcW w:type="dxa" w:w="57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1,06 / 0,69</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2,20 / 0,00</w:t>
            </w:r>
          </w:p>
        </w:tc>
        <w:tc>
          <w:tcPr>
            <w:tcW w:type="dxa" w:w="648"/>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1,96 / 0,00</w:t>
            </w:r>
          </w:p>
        </w:tc>
        <w:tc>
          <w:tcPr>
            <w:tcW w:type="dxa" w:w="1037"/>
            <w:vAlign w:val="center"/>
          </w:tcPr>
          <w:p>
            <w:pPr>
              <w:keepNext/>
              <w:widowControl/>
              <w:spacing w:before="10" w:after="10" w:lineRule="exact" w:line="168"/>
              <w:jc w:val="center"/>
            </w:pPr>
          </w:p>
        </w:tc>
      </w:tr>
      <w:tr>
        <w:trPr>
          <w:cantSplit/>
        </w:trPr>
        <w:tc>
          <w:tcPr>
            <w:tcW w:type="dxa" w:w="151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En contacto / separados</w:t>
            </w:r>
          </w:p>
        </w:tc>
        <w:tc>
          <w:tcPr>
            <w:tcW w:type="dxa" w:w="57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1,61 / 0,69</w:t>
            </w:r>
          </w:p>
        </w:tc>
        <w:tc>
          <w:tcPr>
            <w:tcW w:type="dxa" w:w="79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2,40 / 1,08</w:t>
            </w:r>
          </w:p>
        </w:tc>
        <w:tc>
          <w:tcPr>
            <w:tcW w:type="dxa" w:w="648"/>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2,32 / 0,75</w:t>
            </w:r>
          </w:p>
        </w:tc>
        <w:tc>
          <w:tcPr>
            <w:tcW w:type="dxa" w:w="1037"/>
            <w:vAlign w:val="center"/>
          </w:tcPr>
          <w:p>
            <w:pPr>
              <w:keepNext/>
              <w:widowControl/>
              <w:spacing w:before="10" w:after="10" w:lineRule="exact" w:line="168"/>
              <w:jc w:val="center"/>
            </w:pPr>
          </w:p>
        </w:tc>
      </w:tr>
    </w:tbl>
    <w:p>
      <w:pPr>
        <w:keepNext w:val="0"/>
        <w:widowControl/>
        <w:spacing w:before="20" w:after="120" w:line="240" w:lineRule="auto"/>
        <w:jc w:val="both"/>
      </w:pPr>
      <w:r>
        <w:rPr>
          <w:rFonts w:ascii="Times New Roman" w:hAnsi="Times New Roman" w:cs="Times New Roman" w:eastAsia="Times New Roman"/>
          <w:b w:val="0"/>
          <w:i w:val="0"/>
          <w:smallCaps w:val="0"/>
          <w:sz w:val="14"/>
        </w:rPr>
        <w:t>Final = v2 + TTA de 5 pasadas + F2C2. Entre paréntesis, fragmentos reales. Distancia medida en 5, 20 y 22 secundarios.</w:t>
      </w:r>
    </w:p>
    <w:p>
      <w:pPr>
        <w:keepNext/>
        <w:widowControl/>
        <w:spacing w:before="60" w:after="20" w:line="240" w:lineRule="auto"/>
        <w:jc w:val="left"/>
      </w:pPr>
      <w:r>
        <w:rPr>
          <w:rFonts w:ascii="Times New Roman" w:hAnsi="Times New Roman" w:cs="Times New Roman" w:eastAsia="Times New Roman"/>
          <w:b w:val="0"/>
          <w:i/>
          <w:smallCaps w:val="0"/>
          <w:sz w:val="20"/>
        </w:rPr>
        <w:t>A. Ablación, línea base SAM y uso del CBAM</w:t>
      </w:r>
    </w:p>
    <w:p>
      <w:pPr>
        <w:keepNext/>
        <w:widowControl/>
        <w:spacing w:before="120" w:after="0" w:line="240" w:lineRule="auto"/>
        <w:jc w:val="center"/>
      </w:pPr>
      <w:r>
        <w:rPr>
          <w:rFonts w:ascii="Times New Roman" w:hAnsi="Times New Roman" w:cs="Times New Roman" w:eastAsia="Times New Roman"/>
          <w:b w:val="0"/>
          <w:i w:val="0"/>
          <w:smallCaps/>
          <w:sz w:val="16"/>
        </w:rPr>
        <w:t>Tabla VI</w:t>
      </w:r>
    </w:p>
    <w:p>
      <w:pPr>
        <w:keepNext/>
        <w:widowControl/>
        <w:spacing w:before="0" w:after="40" w:line="240" w:lineRule="auto"/>
        <w:jc w:val="center"/>
      </w:pPr>
      <w:r>
        <w:rPr>
          <w:rFonts w:ascii="Times New Roman" w:hAnsi="Times New Roman" w:cs="Times New Roman" w:eastAsia="Times New Roman"/>
          <w:b w:val="0"/>
          <w:i w:val="0"/>
          <w:smallCaps/>
          <w:sz w:val="16"/>
        </w:rPr>
        <w:t>Segmentación por región en test (misma métrica para todos)</w:t>
      </w:r>
    </w:p>
    <w:tbl>
      <w:tblPr>
        <w:jc w:val="center"/>
        <w:tblLayout w:type="fixed"/>
        <w:tblLook w:firstColumn="1" w:firstRow="1" w:lastColumn="0" w:lastRow="0" w:noHBand="0" w:noVBand="1" w:val="04A0"/>
        <w:tblLayout w:type="fixed"/>
        <w:tblW w:w="5040" w:type="dxa"/>
        <w:tblBorders>
          <w:top w:val="single" w:sz="8" w:space="0" w:color="000000"/>
          <w:left w:val="nil"/>
          <w:bottom w:val="single" w:sz="8" w:space="0" w:color="000000"/>
          <w:right w:val="nil"/>
          <w:insideH w:val="nil"/>
          <w:insideV w:val="nil"/>
        </w:tblBorders>
        <w:tblCellMar>
          <w:top w:w="0" w:type="dxa"/>
          <w:left w:w="45" w:type="dxa"/>
          <w:bottom w:w="0" w:type="dxa"/>
          <w:right w:w="45" w:type="dxa"/>
        </w:tblCellMar>
      </w:tblPr>
      <w:tblGrid>
        <w:gridCol w:w="1958"/>
        <w:gridCol w:w="691"/>
        <w:gridCol w:w="633"/>
        <w:gridCol w:w="748"/>
        <w:gridCol w:w="1007"/>
      </w:tblGrid>
      <w:tr>
        <w:trPr>
          <w:cantSplit/>
          <w:tblHeader/>
        </w:trPr>
        <w:tc>
          <w:tcPr>
            <w:tcW w:type="dxa" w:w="1958"/>
            <w:tcBorders>
              <w:bottom w:val="single" w:sz="4" w:space="0" w:color="000000"/>
            </w:tcBorders>
            <w:vAlign w:val="center"/>
          </w:tcPr>
          <w:p>
            <w:pPr>
              <w:keepNext/>
              <w:widowControl/>
              <w:spacing w:before="10" w:after="10" w:lineRule="exact" w:line="168"/>
              <w:jc w:val="left"/>
            </w:pPr>
            <w:r>
              <w:rPr>
                <w:rFonts w:ascii="Times New Roman" w:hAnsi="Times New Roman" w:cs="Times New Roman" w:eastAsia="Times New Roman"/>
                <w:b/>
                <w:i w:val="0"/>
                <w:smallCaps w:val="0"/>
                <w:sz w:val="13"/>
              </w:rPr>
              <w:t>Modelo</w:t>
            </w:r>
          </w:p>
        </w:tc>
        <w:tc>
          <w:tcPr>
            <w:tcW w:type="dxa" w:w="691"/>
            <w:tcBorders>
              <w:bottom w:val="single" w:sz="4" w:space="0" w:color="000000"/>
            </w:tcBorders>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Dice región</w:t>
            </w:r>
          </w:p>
        </w:tc>
        <w:tc>
          <w:tcPr>
            <w:tcW w:type="dxa" w:w="634"/>
            <w:tcBorders>
              <w:bottom w:val="single" w:sz="4" w:space="0" w:color="000000"/>
            </w:tcBorders>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Dice SA</w:t>
            </w:r>
          </w:p>
        </w:tc>
        <w:tc>
          <w:tcPr>
            <w:tcW w:type="dxa" w:w="749"/>
            <w:tcBorders>
              <w:bottom w:val="single" w:sz="4" w:space="0" w:color="000000"/>
            </w:tcBorders>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IoU región</w:t>
            </w:r>
          </w:p>
        </w:tc>
        <w:tc>
          <w:tcPr>
            <w:tcW w:type="dxa" w:w="1008"/>
            <w:tcBorders>
              <w:bottom w:val="single" w:sz="4" w:space="0" w:color="000000"/>
            </w:tcBorders>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mAP@[.5:.95]</w:t>
            </w:r>
          </w:p>
        </w:tc>
      </w:tr>
      <w:tr>
        <w:trPr>
          <w:cantSplit/>
        </w:trPr>
        <w:tc>
          <w:tcPr>
            <w:tcW w:type="dxa" w:w="1958"/>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Base (CBAM + TL), semana 9</w:t>
            </w:r>
          </w:p>
        </w:tc>
        <w:tc>
          <w:tcPr>
            <w:tcW w:type="dxa" w:w="691"/>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0,968</w:t>
            </w:r>
          </w:p>
        </w:tc>
        <w:tc>
          <w:tcPr>
            <w:tcW w:type="dxa" w:w="63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0,954</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0,938</w:t>
            </w:r>
          </w:p>
        </w:tc>
        <w:tc>
          <w:tcPr>
            <w:tcW w:type="dxa" w:w="1008"/>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0,841</w:t>
            </w:r>
          </w:p>
        </w:tc>
      </w:tr>
      <w:tr>
        <w:trPr>
          <w:cantSplit/>
        </w:trPr>
        <w:tc>
          <w:tcPr>
            <w:tcW w:type="dxa" w:w="1958"/>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Sin CBAM</w:t>
            </w:r>
          </w:p>
        </w:tc>
        <w:tc>
          <w:tcPr>
            <w:tcW w:type="dxa" w:w="691"/>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0,970</w:t>
            </w:r>
          </w:p>
        </w:tc>
        <w:tc>
          <w:tcPr>
            <w:tcW w:type="dxa" w:w="63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0,960</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0,942</w:t>
            </w:r>
          </w:p>
        </w:tc>
        <w:tc>
          <w:tcPr>
            <w:tcW w:type="dxa" w:w="1008"/>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0,845</w:t>
            </w:r>
          </w:p>
        </w:tc>
      </w:tr>
      <w:tr>
        <w:trPr>
          <w:cantSplit/>
        </w:trPr>
        <w:tc>
          <w:tcPr>
            <w:tcW w:type="dxa" w:w="1958"/>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Sin transfer learning</w:t>
            </w:r>
          </w:p>
        </w:tc>
        <w:tc>
          <w:tcPr>
            <w:tcW w:type="dxa" w:w="691"/>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0,971</w:t>
            </w:r>
          </w:p>
        </w:tc>
        <w:tc>
          <w:tcPr>
            <w:tcW w:type="dxa" w:w="63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0,961</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0,944</w:t>
            </w:r>
          </w:p>
        </w:tc>
        <w:tc>
          <w:tcPr>
            <w:tcW w:type="dxa" w:w="1008"/>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0,840</w:t>
            </w:r>
          </w:p>
        </w:tc>
      </w:tr>
      <w:tr>
        <w:trPr>
          <w:cantSplit/>
        </w:trPr>
        <w:tc>
          <w:tcPr>
            <w:tcW w:type="dxa" w:w="1958"/>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v2, época 39 (entregado, sin TTA)</w:t>
            </w:r>
          </w:p>
        </w:tc>
        <w:tc>
          <w:tcPr>
            <w:tcW w:type="dxa" w:w="691"/>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0,971</w:t>
            </w:r>
          </w:p>
        </w:tc>
        <w:tc>
          <w:tcPr>
            <w:tcW w:type="dxa" w:w="63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0,961</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0,944</w:t>
            </w:r>
          </w:p>
        </w:tc>
        <w:tc>
          <w:tcPr>
            <w:tcW w:type="dxa" w:w="1008"/>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0,864</w:t>
            </w:r>
          </w:p>
        </w:tc>
      </w:tr>
      <w:tr>
        <w:trPr>
          <w:cantSplit/>
        </w:trPr>
        <w:tc>
          <w:tcPr>
            <w:tcW w:type="dxa" w:w="1958"/>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SAM ViT-B + caja predicha (base)</w:t>
            </w:r>
          </w:p>
        </w:tc>
        <w:tc>
          <w:tcPr>
            <w:tcW w:type="dxa" w:w="691"/>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0,908</w:t>
            </w:r>
          </w:p>
        </w:tc>
        <w:tc>
          <w:tcPr>
            <w:tcW w:type="dxa" w:w="63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0,863</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0,832</w:t>
            </w:r>
          </w:p>
        </w:tc>
        <w:tc>
          <w:tcPr>
            <w:tcW w:type="dxa" w:w="1008"/>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w:t>
            </w:r>
          </w:p>
        </w:tc>
      </w:tr>
      <w:tr>
        <w:trPr>
          <w:cantSplit/>
        </w:trPr>
        <w:tc>
          <w:tcPr>
            <w:tcW w:type="dxa" w:w="1958"/>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SAM ViT-B + caja real</w:t>
            </w:r>
          </w:p>
        </w:tc>
        <w:tc>
          <w:tcPr>
            <w:tcW w:type="dxa" w:w="691"/>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0,908</w:t>
            </w:r>
          </w:p>
        </w:tc>
        <w:tc>
          <w:tcPr>
            <w:tcW w:type="dxa" w:w="634"/>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0,866</w:t>
            </w:r>
          </w:p>
        </w:tc>
        <w:tc>
          <w:tcPr>
            <w:tcW w:type="dxa" w:w="749"/>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0,832</w:t>
            </w:r>
          </w:p>
        </w:tc>
        <w:tc>
          <w:tcPr>
            <w:tcW w:type="dxa" w:w="1008"/>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w:t>
            </w:r>
          </w:p>
        </w:tc>
      </w:tr>
    </w:tbl>
    <w:p>
      <w:pPr>
        <w:keepNext w:val="0"/>
        <w:widowControl/>
        <w:spacing w:before="0" w:after="60" w:lineRule="exact" w:line="80"/>
        <w:jc w:val="left"/>
      </w:pPr>
    </w:p>
    <w:p>
      <w:pPr>
        <w:keepNext w:val="0"/>
        <w:widowControl/>
        <w:spacing w:before="0" w:after="0" w:line="240" w:lineRule="auto"/>
        <w:ind w:firstLine="202"/>
        <w:jc w:val="both"/>
      </w:pPr>
      <w:r>
        <w:rPr>
          <w:rFonts w:ascii="Times New Roman" w:hAnsi="Times New Roman" w:cs="Times New Roman" w:eastAsia="Times New Roman"/>
          <w:b w:val="0"/>
          <w:i w:val="0"/>
          <w:smallCaps w:val="0"/>
          <w:sz w:val="20"/>
        </w:rPr>
        <w:t>En test, con una semilla, los modelos con y sin CBAM y con y sin TL empatan (Tabla VI), igual que en CV. El γ lo confirma: el del CBAM de la etapa 3 queda en 0,18 y apagarlo no cambia nada (Δ mAP −0,002); el de la etapa 4 llega a −1,90, es decir, la red invierte la atención (</w:t>
      </w:r>
      <w:r>
        <w:rPr>
          <w:rFonts w:ascii="Times New Roman" w:hAnsi="Times New Roman" w:cs="Times New Roman" w:eastAsia="Times New Roman"/>
          <w:b w:val="0"/>
          <w:i/>
          <w:smallCaps w:val="0"/>
          <w:sz w:val="20"/>
        </w:rPr>
        <w:t>y</w:t>
      </w:r>
      <w:r>
        <w:rPr>
          <w:rFonts w:ascii="Times New Roman" w:hAnsi="Times New Roman" w:cs="Times New Roman" w:eastAsia="Times New Roman"/>
          <w:b w:val="0"/>
          <w:i w:val="0"/>
          <w:smallCaps w:val="0"/>
          <w:sz w:val="20"/>
        </w:rPr>
        <w:t xml:space="preserve"> = 2,9</w:t>
      </w:r>
      <w:r>
        <w:rPr>
          <w:rFonts w:ascii="Times New Roman" w:hAnsi="Times New Roman" w:cs="Times New Roman" w:eastAsia="Times New Roman"/>
          <w:b w:val="0"/>
          <w:i/>
          <w:smallCaps w:val="0"/>
          <w:sz w:val="20"/>
        </w:rPr>
        <w:t>x</w:t>
      </w:r>
      <w:r>
        <w:rPr>
          <w:rFonts w:ascii="Times New Roman" w:hAnsi="Times New Roman" w:cs="Times New Roman" w:eastAsia="Times New Roman"/>
          <w:b w:val="0"/>
          <w:i w:val="0"/>
          <w:smallCaps w:val="0"/>
          <w:sz w:val="20"/>
        </w:rPr>
        <w:t xml:space="preserve"> − 1,9·CBAM(</w:t>
      </w:r>
      <w:r>
        <w:rPr>
          <w:rFonts w:ascii="Times New Roman" w:hAnsi="Times New Roman" w:cs="Times New Roman" w:eastAsia="Times New Roman"/>
          <w:b w:val="0"/>
          <w:i/>
          <w:smallCaps w:val="0"/>
          <w:sz w:val="20"/>
        </w:rPr>
        <w:t>x</w:t>
      </w:r>
      <w:r>
        <w:rPr>
          <w:rFonts w:ascii="Times New Roman" w:hAnsi="Times New Roman" w:cs="Times New Roman" w:eastAsia="Times New Roman"/>
          <w:b w:val="0"/>
          <w:i w:val="0"/>
          <w:smallCaps w:val="0"/>
          <w:sz w:val="20"/>
        </w:rPr>
        <w:t>)), y al repetir el entrenamiento vuelve a −1,83 mientras el de la etapa 3 termina en 0,41. Con Grad-CAM [13] sobre C4, solo el 3-6 % de la activación cae sobre el hueso clasificado. CBAM se mantiene porque el enunciado lo exige. El TL acelera el arranque (mAP@[0,5:0,95] de validación 0,730 contra 0,679 desde cero en la época 2) y luego se iguala. SAM [14] con la caja predicha queda 6 puntos de Dice por debajo y 9 en el sacro, y rinde igual con la caja real: lo limita el dominio, no el detector.</w:t>
      </w:r>
    </w:p>
    <w:p>
      <w:pPr>
        <w:keepNext/>
        <w:widowControl/>
        <w:spacing w:before="60" w:after="20" w:line="240" w:lineRule="auto"/>
        <w:jc w:val="left"/>
      </w:pPr>
      <w:r>
        <w:rPr>
          <w:rFonts w:ascii="Times New Roman" w:hAnsi="Times New Roman" w:cs="Times New Roman" w:eastAsia="Times New Roman"/>
          <w:b w:val="0"/>
          <w:i/>
          <w:smallCaps w:val="0"/>
          <w:sz w:val="20"/>
        </w:rPr>
        <w:t>B. Matriz de confusión</w:t>
      </w:r>
    </w:p>
    <w:p>
      <w:pPr>
        <w:keepNext w:val="0"/>
        <w:widowControl/>
        <w:spacing w:before="0" w:after="0" w:line="240" w:lineRule="auto"/>
        <w:ind w:firstLine="202"/>
        <w:jc w:val="both"/>
      </w:pPr>
      <w:r>
        <w:rPr>
          <w:rFonts w:ascii="Times New Roman" w:hAnsi="Times New Roman" w:cs="Times New Roman" w:eastAsia="Times New Roman"/>
          <w:b w:val="0"/>
          <w:i w:val="0"/>
          <w:smallCaps w:val="0"/>
          <w:sz w:val="20"/>
        </w:rPr>
        <w:t>En la clasificación por corte (Tabla VII) el sacro es el que más falla, casi siempre en los extremos del hueso, donde aparece o desaparece en pocos píxeles. Por píxel, la confusión entre huesos es del 0,06 % y la lateralidad es correcta, que era el riesgo de los 34 volúmenes en RAS; el error está contra el fondo (recall por hueso 0,984-0,987, sobre todo en ramas finas).</w:t>
      </w:r>
    </w:p>
    <w:p>
      <w:pPr>
        <w:keepNext/>
        <w:widowControl/>
        <w:spacing w:before="120" w:after="0" w:line="240" w:lineRule="auto"/>
        <w:jc w:val="center"/>
      </w:pPr>
      <w:r>
        <w:rPr>
          <w:rFonts w:ascii="Times New Roman" w:hAnsi="Times New Roman" w:cs="Times New Roman" w:eastAsia="Times New Roman"/>
          <w:b w:val="0"/>
          <w:i w:val="0"/>
          <w:smallCaps/>
          <w:sz w:val="16"/>
        </w:rPr>
        <w:t>Tabla VII</w:t>
      </w:r>
    </w:p>
    <w:p>
      <w:pPr>
        <w:keepNext/>
        <w:widowControl/>
        <w:spacing w:before="0" w:after="40" w:line="240" w:lineRule="auto"/>
        <w:jc w:val="center"/>
      </w:pPr>
      <w:r>
        <w:rPr>
          <w:rFonts w:ascii="Times New Roman" w:hAnsi="Times New Roman" w:cs="Times New Roman" w:eastAsia="Times New Roman"/>
          <w:b w:val="0"/>
          <w:i w:val="0"/>
          <w:smallCaps/>
          <w:sz w:val="16"/>
        </w:rPr>
        <w:t>Confusión de la clasificación por corte (test, 4840 cortes)</w:t>
      </w:r>
    </w:p>
    <w:tbl>
      <w:tblPr>
        <w:jc w:val="center"/>
        <w:tblLayout w:type="fixed"/>
        <w:tblLook w:firstColumn="1" w:firstRow="1" w:lastColumn="0" w:lastRow="0" w:noHBand="0" w:noVBand="1" w:val="04A0"/>
        <w:tblLayout w:type="fixed"/>
        <w:tblW w:w="4939" w:type="dxa"/>
        <w:tblBorders>
          <w:top w:val="single" w:sz="8" w:space="0" w:color="000000"/>
          <w:left w:val="nil"/>
          <w:bottom w:val="single" w:sz="8" w:space="0" w:color="000000"/>
          <w:right w:val="nil"/>
          <w:insideH w:val="nil"/>
          <w:insideV w:val="nil"/>
        </w:tblBorders>
        <w:tblCellMar>
          <w:top w:w="0" w:type="dxa"/>
          <w:left w:w="45" w:type="dxa"/>
          <w:bottom w:w="0" w:type="dxa"/>
          <w:right w:w="45" w:type="dxa"/>
        </w:tblCellMar>
      </w:tblPr>
      <w:tblGrid>
        <w:gridCol w:w="1152"/>
        <w:gridCol w:w="547"/>
        <w:gridCol w:w="432"/>
        <w:gridCol w:w="432"/>
        <w:gridCol w:w="547"/>
        <w:gridCol w:w="648"/>
        <w:gridCol w:w="604"/>
        <w:gridCol w:w="576"/>
      </w:tblGrid>
      <w:tr>
        <w:trPr>
          <w:cantSplit/>
          <w:tblHeader/>
        </w:trPr>
        <w:tc>
          <w:tcPr>
            <w:tcW w:type="dxa" w:w="1152"/>
            <w:tcBorders>
              <w:bottom w:val="single" w:sz="4" w:space="0" w:color="000000"/>
            </w:tcBorders>
            <w:vAlign w:val="center"/>
          </w:tcPr>
          <w:p>
            <w:pPr>
              <w:keepNext/>
              <w:widowControl/>
              <w:spacing w:before="10" w:after="10" w:lineRule="exact" w:line="168"/>
              <w:jc w:val="left"/>
            </w:pPr>
            <w:r>
              <w:rPr>
                <w:rFonts w:ascii="Times New Roman" w:hAnsi="Times New Roman" w:cs="Times New Roman" w:eastAsia="Times New Roman"/>
                <w:b/>
                <w:i w:val="0"/>
                <w:smallCaps w:val="0"/>
                <w:sz w:val="13"/>
              </w:rPr>
              <w:t>Hueso</w:t>
            </w:r>
          </w:p>
        </w:tc>
        <w:tc>
          <w:tcPr>
            <w:tcW w:type="dxa" w:w="547"/>
            <w:tcBorders>
              <w:bottom w:val="single" w:sz="4" w:space="0" w:color="000000"/>
            </w:tcBorders>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VP</w:t>
            </w:r>
          </w:p>
        </w:tc>
        <w:tc>
          <w:tcPr>
            <w:tcW w:type="dxa" w:w="432"/>
            <w:tcBorders>
              <w:bottom w:val="single" w:sz="4" w:space="0" w:color="000000"/>
            </w:tcBorders>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FN</w:t>
            </w:r>
          </w:p>
        </w:tc>
        <w:tc>
          <w:tcPr>
            <w:tcW w:type="dxa" w:w="432"/>
            <w:tcBorders>
              <w:bottom w:val="single" w:sz="4" w:space="0" w:color="000000"/>
            </w:tcBorders>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FP</w:t>
            </w:r>
          </w:p>
        </w:tc>
        <w:tc>
          <w:tcPr>
            <w:tcW w:type="dxa" w:w="547"/>
            <w:tcBorders>
              <w:bottom w:val="single" w:sz="4" w:space="0" w:color="000000"/>
            </w:tcBorders>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VN</w:t>
            </w:r>
          </w:p>
        </w:tc>
        <w:tc>
          <w:tcPr>
            <w:tcW w:type="dxa" w:w="648"/>
            <w:tcBorders>
              <w:bottom w:val="single" w:sz="4" w:space="0" w:color="000000"/>
            </w:tcBorders>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Precisión</w:t>
            </w:r>
          </w:p>
        </w:tc>
        <w:tc>
          <w:tcPr>
            <w:tcW w:type="dxa" w:w="605"/>
            <w:tcBorders>
              <w:bottom w:val="single" w:sz="4" w:space="0" w:color="000000"/>
            </w:tcBorders>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Recall</w:t>
            </w:r>
          </w:p>
        </w:tc>
        <w:tc>
          <w:tcPr>
            <w:tcW w:type="dxa" w:w="576"/>
            <w:tcBorders>
              <w:bottom w:val="single" w:sz="4" w:space="0" w:color="000000"/>
            </w:tcBorders>
            <w:vAlign w:val="center"/>
          </w:tcPr>
          <w:p>
            <w:pPr>
              <w:keepNext/>
              <w:widowControl/>
              <w:spacing w:before="10" w:after="10" w:lineRule="exact" w:line="168"/>
              <w:jc w:val="center"/>
            </w:pPr>
            <w:r>
              <w:rPr>
                <w:rFonts w:ascii="Times New Roman" w:hAnsi="Times New Roman" w:cs="Times New Roman" w:eastAsia="Times New Roman"/>
                <w:b/>
                <w:i w:val="0"/>
                <w:smallCaps w:val="0"/>
                <w:sz w:val="13"/>
              </w:rPr>
              <w:t>F1</w:t>
            </w:r>
          </w:p>
        </w:tc>
      </w:tr>
      <w:tr>
        <w:trPr>
          <w:cantSplit/>
        </w:trPr>
        <w:tc>
          <w:tcPr>
            <w:tcW w:type="dxa" w:w="115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Sacro (SA)</w:t>
            </w:r>
          </w:p>
        </w:tc>
        <w:tc>
          <w:tcPr>
            <w:tcW w:type="dxa" w:w="54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2440</w:t>
            </w:r>
          </w:p>
        </w:tc>
        <w:tc>
          <w:tcPr>
            <w:tcW w:type="dxa" w:w="43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45</w:t>
            </w:r>
          </w:p>
        </w:tc>
        <w:tc>
          <w:tcPr>
            <w:tcW w:type="dxa" w:w="43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44</w:t>
            </w:r>
          </w:p>
        </w:tc>
        <w:tc>
          <w:tcPr>
            <w:tcW w:type="dxa" w:w="54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2311</w:t>
            </w:r>
          </w:p>
        </w:tc>
        <w:tc>
          <w:tcPr>
            <w:tcW w:type="dxa" w:w="648"/>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0,982</w:t>
            </w:r>
          </w:p>
        </w:tc>
        <w:tc>
          <w:tcPr>
            <w:tcW w:type="dxa" w:w="605"/>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0,982</w:t>
            </w:r>
          </w:p>
        </w:tc>
        <w:tc>
          <w:tcPr>
            <w:tcW w:type="dxa" w:w="57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0,982</w:t>
            </w:r>
          </w:p>
        </w:tc>
      </w:tr>
      <w:tr>
        <w:trPr>
          <w:cantSplit/>
        </w:trPr>
        <w:tc>
          <w:tcPr>
            <w:tcW w:type="dxa" w:w="115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Coxal izq. (LI)</w:t>
            </w:r>
          </w:p>
        </w:tc>
        <w:tc>
          <w:tcPr>
            <w:tcW w:type="dxa" w:w="54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3589</w:t>
            </w:r>
          </w:p>
        </w:tc>
        <w:tc>
          <w:tcPr>
            <w:tcW w:type="dxa" w:w="43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8</w:t>
            </w:r>
          </w:p>
        </w:tc>
        <w:tc>
          <w:tcPr>
            <w:tcW w:type="dxa" w:w="43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4</w:t>
            </w:r>
          </w:p>
        </w:tc>
        <w:tc>
          <w:tcPr>
            <w:tcW w:type="dxa" w:w="54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1239</w:t>
            </w:r>
          </w:p>
        </w:tc>
        <w:tc>
          <w:tcPr>
            <w:tcW w:type="dxa" w:w="648"/>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0,999</w:t>
            </w:r>
          </w:p>
        </w:tc>
        <w:tc>
          <w:tcPr>
            <w:tcW w:type="dxa" w:w="605"/>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0,998</w:t>
            </w:r>
          </w:p>
        </w:tc>
        <w:tc>
          <w:tcPr>
            <w:tcW w:type="dxa" w:w="57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0,998</w:t>
            </w:r>
          </w:p>
        </w:tc>
      </w:tr>
      <w:tr>
        <w:trPr>
          <w:cantSplit/>
        </w:trPr>
        <w:tc>
          <w:tcPr>
            <w:tcW w:type="dxa" w:w="1152"/>
            <w:vAlign w:val="center"/>
          </w:tcPr>
          <w:p>
            <w:pPr>
              <w:keepNext/>
              <w:widowControl/>
              <w:spacing w:before="10" w:after="10" w:lineRule="exact" w:line="168"/>
              <w:jc w:val="left"/>
            </w:pPr>
            <w:r>
              <w:rPr>
                <w:rFonts w:ascii="Times New Roman" w:hAnsi="Times New Roman" w:cs="Times New Roman" w:eastAsia="Times New Roman"/>
                <w:b w:val="0"/>
                <w:i w:val="0"/>
                <w:smallCaps w:val="0"/>
                <w:sz w:val="13"/>
              </w:rPr>
              <w:t>Coxal der. (RI)</w:t>
            </w:r>
          </w:p>
        </w:tc>
        <w:tc>
          <w:tcPr>
            <w:tcW w:type="dxa" w:w="54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3566</w:t>
            </w:r>
          </w:p>
        </w:tc>
        <w:tc>
          <w:tcPr>
            <w:tcW w:type="dxa" w:w="43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5</w:t>
            </w:r>
          </w:p>
        </w:tc>
        <w:tc>
          <w:tcPr>
            <w:tcW w:type="dxa" w:w="432"/>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3</w:t>
            </w:r>
          </w:p>
        </w:tc>
        <w:tc>
          <w:tcPr>
            <w:tcW w:type="dxa" w:w="547"/>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1266</w:t>
            </w:r>
          </w:p>
        </w:tc>
        <w:tc>
          <w:tcPr>
            <w:tcW w:type="dxa" w:w="648"/>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0,999</w:t>
            </w:r>
          </w:p>
        </w:tc>
        <w:tc>
          <w:tcPr>
            <w:tcW w:type="dxa" w:w="605"/>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0,999</w:t>
            </w:r>
          </w:p>
        </w:tc>
        <w:tc>
          <w:tcPr>
            <w:tcW w:type="dxa" w:w="576"/>
            <w:vAlign w:val="center"/>
          </w:tcPr>
          <w:p>
            <w:pPr>
              <w:keepNext/>
              <w:widowControl/>
              <w:spacing w:before="10" w:after="10" w:lineRule="exact" w:line="168"/>
              <w:jc w:val="center"/>
            </w:pPr>
            <w:r>
              <w:rPr>
                <w:rFonts w:ascii="Times New Roman" w:hAnsi="Times New Roman" w:cs="Times New Roman" w:eastAsia="Times New Roman"/>
                <w:b w:val="0"/>
                <w:i w:val="0"/>
                <w:smallCaps w:val="0"/>
                <w:sz w:val="13"/>
              </w:rPr>
              <w:t>0,999</w:t>
            </w:r>
          </w:p>
        </w:tc>
      </w:tr>
    </w:tbl>
    <w:p>
      <w:pPr>
        <w:keepNext w:val="0"/>
        <w:widowControl/>
        <w:spacing w:before="0" w:after="60" w:lineRule="exact" w:line="80"/>
        <w:jc w:val="left"/>
      </w:pPr>
    </w:p>
    <w:p>
      <w:pPr>
        <w:keepNext/>
        <w:widowControl/>
        <w:spacing w:before="60" w:after="20" w:line="240" w:lineRule="auto"/>
        <w:jc w:val="left"/>
      </w:pPr>
      <w:r>
        <w:rPr>
          <w:rFonts w:ascii="Times New Roman" w:hAnsi="Times New Roman" w:cs="Times New Roman" w:eastAsia="Times New Roman"/>
          <w:b w:val="0"/>
          <w:i/>
          <w:smallCaps w:val="0"/>
          <w:sz w:val="20"/>
        </w:rPr>
        <w:t>C. Los cinco peores casos</w:t>
      </w:r>
    </w:p>
    <w:tbl>
      <w:tblPr>
        <w:tblpPr w:leftFromText="0" w:rightFromText="0" w:topFromText="0" w:bottomFromText="170" w:vertAnchor="margin" w:horzAnchor="margin" w:tblpXSpec="center" w:tblpYSpec="top"/>
        <w:tblLook w:firstColumn="1" w:firstRow="1" w:lastColumn="0" w:lastRow="0" w:noHBand="0" w:noVBand="1" w:val="04A0"/>
        <w:tblOverlap w:val="never"/>
        <w:tblW w:w="10454" w:type="dxa"/>
        <w:tblLayout w:type="fixed"/>
        <w:tblBorders>
          <w:top w:val="nil"/>
          <w:left w:val="nil"/>
          <w:bottom w:val="nil"/>
          <w:right w:val="nil"/>
          <w:insideH w:val="nil"/>
          <w:insideV w:val="nil"/>
        </w:tblBorders>
        <w:tblCellMar>
          <w:top w:w="0" w:type="dxa"/>
          <w:left w:w="0" w:type="dxa"/>
          <w:bottom w:w="0" w:type="dxa"/>
          <w:right w:w="0" w:type="dxa"/>
        </w:tblCellMar>
      </w:tblPr>
      <w:tblGrid>
        <w:gridCol w:w="10454"/>
      </w:tblGrid>
      <w:tr>
        <w:tc>
          <w:tcPr>
            <w:tcW w:type="dxa" w:w="10454"/>
          </w:tcPr>
          <w:p>
            <w:pPr>
              <w:keepNext w:val="0"/>
              <w:widowControl/>
              <w:spacing w:before="0" w:after="40" w:line="240" w:lineRule="auto"/>
              <w:jc w:val="center"/>
            </w:pPr>
            <w:r>
              <w:drawing>
                <wp:inline xmlns:a="http://schemas.openxmlformats.org/drawingml/2006/main" xmlns:pic="http://schemas.openxmlformats.org/drawingml/2006/picture">
                  <wp:extent cx="5760720" cy="1840551"/>
                  <wp:docPr id="3" name="Picture 3"/>
                  <wp:cNvGraphicFramePr>
                    <a:graphicFrameLocks noChangeAspect="1"/>
                  </wp:cNvGraphicFramePr>
                  <a:graphic>
                    <a:graphicData uri="http://schemas.openxmlformats.org/drawingml/2006/picture">
                      <pic:pic>
                        <pic:nvPicPr>
                          <pic:cNvPr id="0" name="fig_galeria.png"/>
                          <pic:cNvPicPr/>
                        </pic:nvPicPr>
                        <pic:blipFill>
                          <a:blip r:embed="rId11"/>
                          <a:stretch>
                            <a:fillRect/>
                          </a:stretch>
                        </pic:blipFill>
                        <pic:spPr>
                          <a:xfrm>
                            <a:off x="0" y="0"/>
                            <a:ext cx="5760720" cy="1840551"/>
                          </a:xfrm>
                          <a:prstGeom prst="rect"/>
                        </pic:spPr>
                      </pic:pic>
                    </a:graphicData>
                  </a:graphic>
                </wp:inline>
              </w:drawing>
            </w:r>
          </w:p>
          <w:p>
            <w:pPr>
              <w:keepNext w:val="0"/>
              <w:widowControl/>
              <w:spacing w:before="0" w:after="0" w:line="240" w:lineRule="auto"/>
              <w:jc w:val="both"/>
            </w:pPr>
            <w:r>
              <w:rPr>
                <w:rFonts w:ascii="Times New Roman" w:hAnsi="Times New Roman" w:cs="Times New Roman" w:eastAsia="Times New Roman"/>
                <w:sz w:val="16"/>
              </w:rPr>
              <w:t xml:space="preserve">Fig. 3.  </w:t>
            </w:r>
            <w:r>
              <w:rPr>
                <w:rFonts w:ascii="Times New Roman" w:hAnsi="Times New Roman" w:cs="Times New Roman" w:eastAsia="Times New Roman"/>
                <w:b w:val="0"/>
                <w:i w:val="0"/>
                <w:smallCaps w:val="0"/>
                <w:sz w:val="16"/>
              </w:rPr>
              <w:t>Los cinco peores casos de test, un corte por paciente. Arriba, referencia; abajo, predicción; en rojo, el contorno real de un secundario perdido. Sobre cada columna, el Dice por fragmento del caso, los fragmentos reales contra los predichos y qué pasó con los secundarios perdidos.</w:t>
            </w:r>
          </w:p>
        </w:tc>
      </w:tr>
    </w:tbl>
    <w:p>
      <w:pPr>
        <w:keepNext w:val="0"/>
        <w:widowControl/>
        <w:spacing w:before="0" w:after="0" w:line="240" w:lineRule="auto"/>
        <w:ind w:firstLine="202"/>
        <w:jc w:val="both"/>
      </w:pPr>
      <w:r>
        <w:rPr>
          <w:rFonts w:ascii="Times New Roman" w:hAnsi="Times New Roman" w:cs="Times New Roman" w:eastAsia="Times New Roman"/>
          <w:b w:val="0"/>
          <w:i w:val="0"/>
          <w:smallCaps w:val="0"/>
          <w:sz w:val="20"/>
        </w:rPr>
        <w:t>En los cinco pacientes con menor Dice por fragmento (Fig. 3) se perdieron 10 secundarios y se midió dónde quedaron sus vóxeles. Los 10 tocan a su principal en la referencia: 8 quedaron absorbidos por él (82-98 % de sus vóxeles), uno de 95 cm³ se cortó por otro sitio (IoU 0,48) y uno de 3,8 cm³ salió como fondo. Los principales salen bien (Dice 0,88-0,93) y se predicen de 16 a 28 fragmentos donde hay de 4 a 7. Hipótesis: sin un borde continuo sobre la superficie de fractura el núcleo no se corta y la semilla del principal invade al secundario, la misma causa que señala la Tabla II.</w:t>
      </w:r>
    </w:p>
    <w:p>
      <w:pPr>
        <w:keepNext/>
        <w:widowControl/>
        <w:spacing w:before="60" w:after="20" w:line="240" w:lineRule="auto"/>
        <w:jc w:val="left"/>
      </w:pPr>
      <w:r>
        <w:rPr>
          <w:rFonts w:ascii="Times New Roman" w:hAnsi="Times New Roman" w:cs="Times New Roman" w:eastAsia="Times New Roman"/>
          <w:b w:val="0"/>
          <w:i/>
          <w:smallCaps w:val="0"/>
          <w:sz w:val="20"/>
        </w:rPr>
        <w:t>D. Distancia de separación y latencia</w:t>
      </w:r>
    </w:p>
    <w:p>
      <w:pPr>
        <w:keepNext w:val="0"/>
        <w:widowControl/>
        <w:spacing w:before="0" w:after="0" w:line="240" w:lineRule="auto"/>
        <w:ind w:firstLine="202"/>
        <w:jc w:val="both"/>
      </w:pPr>
      <w:r>
        <w:rPr>
          <w:rFonts w:ascii="Times New Roman" w:hAnsi="Times New Roman" w:cs="Times New Roman" w:eastAsia="Times New Roman"/>
          <w:b w:val="0"/>
          <w:i w:val="0"/>
          <w:smallCaps w:val="0"/>
          <w:sz w:val="20"/>
        </w:rPr>
        <w:t>De los 39 secundarios reales, 22 (56 %) se recuperan y tienen distancia comparable con la referencia (Tabla V): la mediana del error es 0,00 mm, y 17 de los 22 están en contacto. El error medio de 1,96 mm lo domina el caso 009 (39,4 mm), en el que el principal del coxal derecho quedó mal segmentado (Dice 0,72) y el secundario se midió contra otro pedazo: así pasa un error de segmentación a la medida. Los otros 17 secundarios no tienen distancia que medir.</w:t>
      </w:r>
    </w:p>
    <w:p>
      <w:pPr>
        <w:keepNext w:val="0"/>
        <w:widowControl/>
        <w:spacing w:before="0" w:after="0" w:line="240" w:lineRule="auto"/>
        <w:ind w:firstLine="202"/>
        <w:jc w:val="both"/>
      </w:pPr>
      <w:r>
        <w:rPr>
          <w:rFonts w:ascii="Times New Roman" w:hAnsi="Times New Roman" w:cs="Times New Roman" w:eastAsia="Times New Roman"/>
          <w:b w:val="0"/>
          <w:i w:val="0"/>
          <w:smallCaps w:val="0"/>
          <w:sz w:val="20"/>
        </w:rPr>
        <w:t>Latencia por corte (modelo, decodificación y NMS) en una laptop con RTX 3060 e Intel i7-11800H: sin TTA, 7,7 ms en GPU y 66 ms en CPU; con TTA, 33,8 ms y 309 ms (7,4 s por volumen de 401 cortes en GPU). A batch 1 la precisión mixta no acelera (10,3 ms).</w:t>
      </w:r>
    </w:p>
    <w:p>
      <w:pPr>
        <w:keepNext/>
        <w:widowControl/>
        <w:spacing w:before="120" w:after="40" w:line="240" w:lineRule="auto"/>
        <w:jc w:val="center"/>
      </w:pPr>
      <w:r>
        <w:rPr>
          <w:rFonts w:ascii="Times New Roman" w:hAnsi="Times New Roman" w:cs="Times New Roman" w:eastAsia="Times New Roman"/>
          <w:b w:val="0"/>
          <w:i w:val="0"/>
          <w:smallCaps/>
          <w:sz w:val="20"/>
        </w:rPr>
        <w:t>VII. Dashboard y despliegue</w:t>
      </w:r>
    </w:p>
    <w:p>
      <w:pPr>
        <w:keepNext w:val="0"/>
        <w:widowControl/>
        <w:spacing w:before="0" w:after="0" w:line="240" w:lineRule="auto"/>
        <w:ind w:firstLine="202"/>
        <w:jc w:val="both"/>
      </w:pPr>
      <w:r>
        <w:rPr>
          <w:rFonts w:ascii="Times New Roman" w:hAnsi="Times New Roman" w:cs="Times New Roman" w:eastAsia="Times New Roman"/>
          <w:b w:val="0"/>
          <w:i w:val="0"/>
          <w:smallCaps w:val="0"/>
          <w:sz w:val="20"/>
        </w:rPr>
        <w:t>El dashboard es una aplicación FastAPI de una página con los tres visualizadores (Fig. 4): la MIP del CT crudo con umbral de 250 HU, sin modelo; el recorrido corte a corte con cajas, máscaras y la distancia sobre cada secundario; y la malla por fragmento con marching cubes y Plotly Mesh3d, con la distancia junto a cada etiqueta. Recibe volúmenes .mha, .nii o .nrrd por trozos (de 39 a 434 MB) o cortes sueltos PNG, JPEG o DICOM. Corre en una NVIDIA DGX Spark (GPU GB10) y se publica con HTTPS en el VPS del equipo por un túnel SSH inverso: el túnel de Cloudflare no fue posible porque la red de la GPU bloquea su puerto de salida (7844). El caso 019 (184 MB) se procesó en 16 s.</w:t>
      </w:r>
    </w:p>
    <w:tbl>
      <w:tblPr>
        <w:tblpPr w:leftFromText="0" w:rightFromText="0" w:topFromText="170" w:bottomFromText="0" w:vertAnchor="margin" w:horzAnchor="margin" w:tblpXSpec="center" w:tblpYSpec="bottom"/>
        <w:tblLook w:firstColumn="1" w:firstRow="1" w:lastColumn="0" w:lastRow="0" w:noHBand="0" w:noVBand="1" w:val="04A0"/>
        <w:tblOverlap w:val="never"/>
        <w:tblW w:w="10454" w:type="dxa"/>
        <w:tblLayout w:type="fixed"/>
        <w:tblBorders>
          <w:top w:val="nil"/>
          <w:left w:val="nil"/>
          <w:bottom w:val="nil"/>
          <w:right w:val="nil"/>
          <w:insideH w:val="nil"/>
          <w:insideV w:val="nil"/>
        </w:tblBorders>
        <w:tblCellMar>
          <w:top w:w="0" w:type="dxa"/>
          <w:left w:w="0" w:type="dxa"/>
          <w:bottom w:w="0" w:type="dxa"/>
          <w:right w:w="0" w:type="dxa"/>
        </w:tblCellMar>
      </w:tblPr>
      <w:tblGrid>
        <w:gridCol w:w="10454"/>
      </w:tblGrid>
      <w:tr>
        <w:tc>
          <w:tcPr>
            <w:tcW w:type="dxa" w:w="10454"/>
          </w:tcPr>
          <w:p>
            <w:pPr>
              <w:keepNext w:val="0"/>
              <w:widowControl/>
              <w:spacing w:before="0" w:after="40" w:line="240" w:lineRule="auto"/>
              <w:jc w:val="center"/>
            </w:pPr>
            <w:r>
              <w:drawing>
                <wp:inline xmlns:a="http://schemas.openxmlformats.org/drawingml/2006/main" xmlns:pic="http://schemas.openxmlformats.org/drawingml/2006/picture">
                  <wp:extent cx="6035040" cy="1104813"/>
                  <wp:docPr id="4" name="Picture 4"/>
                  <wp:cNvGraphicFramePr>
                    <a:graphicFrameLocks noChangeAspect="1"/>
                  </wp:cNvGraphicFramePr>
                  <a:graphic>
                    <a:graphicData uri="http://schemas.openxmlformats.org/drawingml/2006/picture">
                      <pic:pic>
                        <pic:nvPicPr>
                          <pic:cNvPr id="0" name="fig_dashboard_hueco.png"/>
                          <pic:cNvPicPr/>
                        </pic:nvPicPr>
                        <pic:blipFill>
                          <a:blip r:embed="rId12"/>
                          <a:stretch>
                            <a:fillRect/>
                          </a:stretch>
                        </pic:blipFill>
                        <pic:spPr>
                          <a:xfrm>
                            <a:off x="0" y="0"/>
                            <a:ext cx="6035040" cy="1104813"/>
                          </a:xfrm>
                          <a:prstGeom prst="rect"/>
                        </pic:spPr>
                      </pic:pic>
                    </a:graphicData>
                  </a:graphic>
                </wp:inline>
              </w:drawing>
            </w:r>
          </w:p>
          <w:p>
            <w:pPr>
              <w:keepNext w:val="0"/>
              <w:widowControl/>
              <w:spacing w:before="0" w:after="0" w:line="240" w:lineRule="auto"/>
              <w:jc w:val="both"/>
            </w:pPr>
            <w:r>
              <w:rPr>
                <w:rFonts w:ascii="Times New Roman" w:hAnsi="Times New Roman" w:cs="Times New Roman" w:eastAsia="Times New Roman"/>
                <w:sz w:val="16"/>
              </w:rPr>
              <w:t xml:space="preserve">Fig. 4.  </w:t>
            </w:r>
            <w:r>
              <w:rPr>
                <w:rFonts w:ascii="Times New Roman" w:hAnsi="Times New Roman" w:cs="Times New Roman" w:eastAsia="Times New Roman"/>
                <w:b w:val="0"/>
                <w:i w:val="0"/>
                <w:smallCaps w:val="0"/>
                <w:sz w:val="16"/>
              </w:rPr>
              <w:t>(a)-(c) Los tres visualizadores del dashboard en el caso 075 de test. En (c) la malla del coxal izquierdo muestra un hueco en el ala ilíaca que no es una fractura. (d)-(f) Origen del hueco: el ala mide 0,85-1,7 mm y la referencia nativa no lo tiene; al pasarla a 256 px (1,36 mm por píxel, vecino más cercano) el puente se pierde, y el modelo, entrenado con esas etiquetas, lo reproduce.</w:t>
            </w:r>
          </w:p>
        </w:tc>
      </w:tr>
    </w:tbl>
    <w:p>
      <w:pPr>
        <w:keepNext/>
        <w:widowControl/>
        <w:spacing w:before="120" w:after="40" w:line="240" w:lineRule="auto"/>
        <w:jc w:val="center"/>
      </w:pPr>
      <w:r>
        <w:rPr>
          <w:rFonts w:ascii="Times New Roman" w:hAnsi="Times New Roman" w:cs="Times New Roman" w:eastAsia="Times New Roman"/>
          <w:b w:val="0"/>
          <w:i w:val="0"/>
          <w:smallCaps/>
          <w:sz w:val="20"/>
        </w:rPr>
        <w:t>VIII. Limitaciones</w:t>
      </w:r>
    </w:p>
    <w:p>
      <w:pPr>
        <w:keepNext w:val="0"/>
        <w:widowControl/>
        <w:spacing w:before="0" w:after="0" w:line="240" w:lineRule="auto"/>
        <w:ind w:firstLine="202"/>
        <w:jc w:val="both"/>
      </w:pPr>
      <w:r>
        <w:rPr>
          <w:rFonts w:ascii="Times New Roman" w:hAnsi="Times New Roman" w:cs="Times New Roman" w:eastAsia="Times New Roman"/>
          <w:b w:val="0"/>
          <w:i w:val="0"/>
          <w:smallCaps w:val="0"/>
          <w:sz w:val="20"/>
        </w:rPr>
        <w:t>Al revisar los visualizadores apareció un hueco en el ala ilíaca de la malla 3D (Fig. 4c) que no es fractura ni sobreajuste sino efecto del remuestreo: 102 de los 300 principales ganan túneles al pasar a 256 px. Casi no afecta al Dice (en el 075, menos de 0,1 cm³ de 305 cm³), pero se ve en la malla, y cerrarlo en el posproceso baja las métricas sin quitarlo (Tabla IV). La Tabla VIII reúne las limitaciones.</w:t>
      </w:r>
    </w:p>
    <w:p>
      <w:pPr>
        <w:keepNext/>
        <w:widowControl/>
        <w:spacing w:before="120" w:after="0" w:line="240" w:lineRule="auto"/>
        <w:jc w:val="center"/>
      </w:pPr>
      <w:r>
        <w:rPr>
          <w:rFonts w:ascii="Times New Roman" w:hAnsi="Times New Roman" w:cs="Times New Roman" w:eastAsia="Times New Roman"/>
          <w:b w:val="0"/>
          <w:i w:val="0"/>
          <w:smallCaps/>
          <w:sz w:val="16"/>
        </w:rPr>
        <w:t>Tabla VIII</w:t>
      </w:r>
    </w:p>
    <w:p>
      <w:pPr>
        <w:keepNext/>
        <w:widowControl/>
        <w:spacing w:before="0" w:after="40" w:line="240" w:lineRule="auto"/>
        <w:jc w:val="center"/>
      </w:pPr>
      <w:r>
        <w:rPr>
          <w:rFonts w:ascii="Times New Roman" w:hAnsi="Times New Roman" w:cs="Times New Roman" w:eastAsia="Times New Roman"/>
          <w:b w:val="0"/>
          <w:i w:val="0"/>
          <w:smallCaps/>
          <w:sz w:val="16"/>
        </w:rPr>
        <w:t>Limitaciones conocidas</w:t>
      </w:r>
    </w:p>
    <w:tbl>
      <w:tblPr>
        <w:jc w:val="center"/>
        <w:tblLayout w:type="fixed"/>
        <w:tblLook w:firstColumn="1" w:firstRow="1" w:lastColumn="0" w:lastRow="0" w:noHBand="0" w:noVBand="1" w:val="04A0"/>
        <w:tblLayout w:type="fixed"/>
        <w:tblW w:w="5040" w:type="dxa"/>
        <w:tblBorders>
          <w:top w:val="single" w:sz="8" w:space="0" w:color="000000"/>
          <w:left w:val="nil"/>
          <w:bottom w:val="single" w:sz="8" w:space="0" w:color="000000"/>
          <w:right w:val="nil"/>
          <w:insideH w:val="nil"/>
          <w:insideV w:val="nil"/>
        </w:tblBorders>
        <w:tblCellMar>
          <w:top w:w="0" w:type="dxa"/>
          <w:left w:w="45" w:type="dxa"/>
          <w:bottom w:w="0" w:type="dxa"/>
          <w:right w:w="45" w:type="dxa"/>
        </w:tblCellMar>
      </w:tblPr>
      <w:tblGrid>
        <w:gridCol w:w="1152"/>
        <w:gridCol w:w="2232"/>
        <w:gridCol w:w="1655"/>
      </w:tblGrid>
      <w:tr>
        <w:trPr>
          <w:cantSplit/>
          <w:tblHeader/>
        </w:trPr>
        <w:tc>
          <w:tcPr>
            <w:tcW w:type="dxa" w:w="1152"/>
            <w:tcBorders>
              <w:bottom w:val="single" w:sz="4" w:space="0" w:color="000000"/>
            </w:tcBorders>
            <w:vAlign w:val="center"/>
          </w:tcPr>
          <w:p>
            <w:pPr>
              <w:keepNext/>
              <w:widowControl/>
              <w:spacing w:before="10" w:after="10" w:lineRule="exact" w:line="164"/>
              <w:jc w:val="left"/>
            </w:pPr>
            <w:r>
              <w:rPr>
                <w:rFonts w:ascii="Times New Roman" w:hAnsi="Times New Roman" w:cs="Times New Roman" w:eastAsia="Times New Roman"/>
                <w:b/>
                <w:i w:val="0"/>
                <w:smallCaps w:val="0"/>
                <w:sz w:val="13"/>
              </w:rPr>
              <w:t>Limitación</w:t>
            </w:r>
          </w:p>
        </w:tc>
        <w:tc>
          <w:tcPr>
            <w:tcW w:type="dxa" w:w="2232"/>
            <w:tcBorders>
              <w:bottom w:val="single" w:sz="4" w:space="0" w:color="000000"/>
            </w:tcBorders>
            <w:vAlign w:val="center"/>
          </w:tcPr>
          <w:p>
            <w:pPr>
              <w:keepNext/>
              <w:widowControl/>
              <w:spacing w:before="10" w:after="10" w:lineRule="exact" w:line="164"/>
              <w:jc w:val="left"/>
            </w:pPr>
            <w:r>
              <w:rPr>
                <w:rFonts w:ascii="Times New Roman" w:hAnsi="Times New Roman" w:cs="Times New Roman" w:eastAsia="Times New Roman"/>
                <w:b/>
                <w:i w:val="0"/>
                <w:smallCaps w:val="0"/>
                <w:sz w:val="13"/>
              </w:rPr>
              <w:t>Evidencia</w:t>
            </w:r>
          </w:p>
        </w:tc>
        <w:tc>
          <w:tcPr>
            <w:tcW w:type="dxa" w:w="1656"/>
            <w:tcBorders>
              <w:bottom w:val="single" w:sz="4" w:space="0" w:color="000000"/>
            </w:tcBorders>
            <w:vAlign w:val="center"/>
          </w:tcPr>
          <w:p>
            <w:pPr>
              <w:keepNext/>
              <w:widowControl/>
              <w:spacing w:before="10" w:after="10" w:lineRule="exact" w:line="164"/>
              <w:jc w:val="left"/>
            </w:pPr>
            <w:r>
              <w:rPr>
                <w:rFonts w:ascii="Times New Roman" w:hAnsi="Times New Roman" w:cs="Times New Roman" w:eastAsia="Times New Roman"/>
                <w:b/>
                <w:i w:val="0"/>
                <w:smallCaps w:val="0"/>
                <w:sz w:val="13"/>
              </w:rPr>
              <w:t>Consecuencia</w:t>
            </w:r>
          </w:p>
        </w:tc>
      </w:tr>
      <w:tr>
        <w:trPr>
          <w:cantSplit/>
        </w:trPr>
        <w:tc>
          <w:tcPr>
            <w:tcW w:type="dxa" w:w="1152"/>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Contacto entre fragmentos</w:t>
            </w:r>
          </w:p>
        </w:tc>
        <w:tc>
          <w:tcPr>
            <w:tcW w:type="dxa" w:w="2232"/>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recall del borde 0,16; 10/10 perdidos en contacto</w:t>
            </w:r>
          </w:p>
        </w:tc>
        <w:tc>
          <w:tcPr>
            <w:tcW w:type="dxa" w:w="1656"/>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Dice frag. &lt; 0,85; 44 % sin distancia</w:t>
            </w:r>
          </w:p>
        </w:tc>
      </w:tr>
      <w:tr>
        <w:trPr>
          <w:cantSplit/>
        </w:trPr>
        <w:tc>
          <w:tcPr>
            <w:tcW w:type="dxa" w:w="1152"/>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Grilla de 256 px</w:t>
            </w:r>
          </w:p>
        </w:tc>
        <w:tc>
          <w:tcPr>
            <w:tcW w:type="dxa" w:w="2232"/>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102/300 principales ganan túneles; ala de 0,85-1,7 mm</w:t>
            </w:r>
          </w:p>
        </w:tc>
        <w:tc>
          <w:tcPr>
            <w:tcW w:type="dxa" w:w="1656"/>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huecos en la malla 3D</w:t>
            </w:r>
          </w:p>
        </w:tc>
      </w:tr>
      <w:tr>
        <w:trPr>
          <w:cantSplit/>
        </w:trPr>
        <w:tc>
          <w:tcPr>
            <w:tcW w:type="dxa" w:w="1152"/>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Sobreajuste del borde</w:t>
            </w:r>
          </w:p>
        </w:tc>
        <w:tc>
          <w:tcPr>
            <w:tcW w:type="dxa" w:w="2232"/>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BCE val. 0,018 → 0,034; nueve remedios sin efecto</w:t>
            </w:r>
          </w:p>
        </w:tc>
        <w:tc>
          <w:tcPr>
            <w:tcW w:type="dxa" w:w="1656"/>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hipótesis: etiqueta a 256 px</w:t>
            </w:r>
          </w:p>
        </w:tc>
      </w:tr>
      <w:tr>
        <w:trPr>
          <w:cantSplit/>
        </w:trPr>
        <w:tc>
          <w:tcPr>
            <w:tcW w:type="dxa" w:w="1152"/>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Test de 15 pacientes</w:t>
            </w:r>
          </w:p>
        </w:tc>
        <w:tc>
          <w:tcPr>
            <w:tcW w:type="dxa" w:w="2232"/>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IC95 del IoU [0,636; 0,753]</w:t>
            </w:r>
          </w:p>
        </w:tc>
        <w:tc>
          <w:tcPr>
            <w:tcW w:type="dxa" w:w="1656"/>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meta de IoU no concluyente</w:t>
            </w:r>
          </w:p>
        </w:tc>
      </w:tr>
      <w:tr>
        <w:trPr>
          <w:cantSplit/>
        </w:trPr>
        <w:tc>
          <w:tcPr>
            <w:tcW w:type="dxa" w:w="1152"/>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Fragmentos de más</w:t>
            </w:r>
          </w:p>
        </w:tc>
        <w:tc>
          <w:tcPr>
            <w:tcW w:type="dxa" w:w="2232"/>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16-28 predichos contra 4-7 reales</w:t>
            </w:r>
          </w:p>
        </w:tc>
        <w:tc>
          <w:tcPr>
            <w:tcW w:type="dxa" w:w="1656"/>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se ven en la malla</w:t>
            </w:r>
          </w:p>
        </w:tc>
      </w:tr>
      <w:tr>
        <w:trPr>
          <w:cantSplit/>
        </w:trPr>
        <w:tc>
          <w:tcPr>
            <w:tcW w:type="dxa" w:w="1152"/>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Aumentación fija</w:t>
            </w:r>
          </w:p>
        </w:tc>
        <w:tc>
          <w:tcPr>
            <w:tcW w:type="dxa" w:w="2232"/>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con persistent_workers la época no llega al DataLoader (ed3e807)</w:t>
            </w:r>
          </w:p>
        </w:tc>
        <w:tc>
          <w:tcPr>
            <w:tcW w:type="dxa" w:w="1656"/>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misma transformación por corte; efecto no medido</w:t>
            </w:r>
          </w:p>
        </w:tc>
      </w:tr>
      <w:tr>
        <w:trPr>
          <w:cantSplit/>
        </w:trPr>
        <w:tc>
          <w:tcPr>
            <w:tcW w:type="dxa" w:w="1152"/>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Fugas leves</w:t>
            </w:r>
          </w:p>
        </w:tc>
        <w:tc>
          <w:tcPr>
            <w:tcW w:type="dxa" w:w="2232"/>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época de v2 y diagnóstico inicial del borde vistos en test; EDA con 100 casos</w:t>
            </w:r>
          </w:p>
        </w:tc>
        <w:tc>
          <w:tcPr>
            <w:tcW w:type="dxa" w:w="1656"/>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declaradas</w:t>
            </w:r>
          </w:p>
        </w:tc>
      </w:tr>
      <w:tr>
        <w:trPr>
          <w:cantSplit/>
        </w:trPr>
        <w:tc>
          <w:tcPr>
            <w:tcW w:type="dxa" w:w="1152"/>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Un solo conjunto</w:t>
            </w:r>
          </w:p>
        </w:tc>
        <w:tc>
          <w:tcPr>
            <w:tcW w:type="dxa" w:w="2232"/>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100 CT alineados; oblicuos solo sintéticos</w:t>
            </w:r>
          </w:p>
        </w:tc>
        <w:tc>
          <w:tcPr>
            <w:tcW w:type="dxa" w:w="1656"/>
            <w:vAlign w:val="center"/>
          </w:tcPr>
          <w:p>
            <w:pPr>
              <w:keepNext/>
              <w:widowControl/>
              <w:spacing w:before="10" w:after="10" w:lineRule="exact" w:line="164"/>
              <w:jc w:val="left"/>
            </w:pPr>
            <w:r>
              <w:rPr>
                <w:rFonts w:ascii="Times New Roman" w:hAnsi="Times New Roman" w:cs="Times New Roman" w:eastAsia="Times New Roman"/>
                <w:b w:val="0"/>
                <w:i w:val="0"/>
                <w:smallCaps w:val="0"/>
                <w:sz w:val="13"/>
              </w:rPr>
              <w:t>sin validación externa</w:t>
            </w:r>
          </w:p>
        </w:tc>
      </w:tr>
    </w:tbl>
    <w:p>
      <w:pPr>
        <w:keepNext w:val="0"/>
        <w:widowControl/>
        <w:spacing w:before="0" w:after="60" w:lineRule="exact" w:line="80"/>
        <w:jc w:val="left"/>
      </w:pPr>
    </w:p>
    <w:p>
      <w:pPr>
        <w:keepNext/>
        <w:widowControl/>
        <w:spacing w:before="120" w:after="40" w:line="240" w:lineRule="auto"/>
        <w:jc w:val="center"/>
      </w:pPr>
      <w:r>
        <w:rPr>
          <w:rFonts w:ascii="Times New Roman" w:hAnsi="Times New Roman" w:cs="Times New Roman" w:eastAsia="Times New Roman"/>
          <w:b w:val="0"/>
          <w:i w:val="0"/>
          <w:smallCaps/>
          <w:sz w:val="20"/>
        </w:rPr>
        <w:t>IX. Conclusiones</w:t>
      </w:r>
    </w:p>
    <w:p>
      <w:pPr>
        <w:keepNext w:val="0"/>
        <w:widowControl/>
        <w:spacing w:before="0" w:after="0" w:line="240" w:lineRule="auto"/>
        <w:ind w:firstLine="202"/>
        <w:jc w:val="both"/>
      </w:pPr>
      <w:r>
        <w:rPr>
          <w:rFonts w:ascii="Times New Roman" w:hAnsi="Times New Roman" w:cs="Times New Roman" w:eastAsia="Times New Roman"/>
          <w:b w:val="0"/>
          <w:i w:val="0"/>
          <w:smallCaps w:val="0"/>
          <w:sz w:val="20"/>
        </w:rPr>
        <w:t>El sistema cumple los requisitos funcionales y de arquitectura y cinco de las siete metas; el Dice por fragmento queda en 0,768 frente a 0,85 y el IoU en 0,697, no concluyente. Medir el ruido antes de comparar mostró que casi todas las mejoras aparentes eran ruido de semilla; lo que lo superó fue cambiar cómo se separan los fragmentos y promediar predicciones del mismo modelo. El borde que no se detecta y el hueco del ala ilíaca son el mismo límite: grietas y láminas de uno o dos milímetros quedan por debajo de un píxel de 1,3 mm. El paso siguiente sería entrenar con etiquetas a mayor resolución o con una segunda pasada a resolución nativa sobre cada hueso detectado.</w:t>
      </w:r>
    </w:p>
    <w:p>
      <w:pPr>
        <w:keepNext/>
        <w:widowControl/>
        <w:spacing w:before="140" w:after="60" w:line="240" w:lineRule="auto"/>
        <w:jc w:val="center"/>
      </w:pPr>
      <w:r>
        <w:rPr>
          <w:rFonts w:ascii="Times New Roman" w:hAnsi="Times New Roman" w:cs="Times New Roman" w:eastAsia="Times New Roman"/>
          <w:b w:val="0"/>
          <w:i w:val="0"/>
          <w:smallCaps/>
          <w:sz w:val="20"/>
        </w:rPr>
        <w:t>Referencias</w:t>
      </w:r>
    </w:p>
    <w:p>
      <w:pPr>
        <w:keepNext w:val="0"/>
        <w:widowControl/>
        <w:tabs>
          <w:tab w:pos="403" w:val="left"/>
        </w:tabs>
        <w:spacing w:before="0" w:after="20" w:line="240" w:lineRule="auto"/>
        <w:ind w:left="403" w:hanging="403"/>
        <w:jc w:val="both"/>
      </w:pPr>
      <w:r>
        <w:rPr>
          <w:rFonts w:ascii="Times New Roman" w:hAnsi="Times New Roman" w:cs="Times New Roman" w:eastAsia="Times New Roman"/>
          <w:b w:val="0"/>
          <w:i w:val="0"/>
          <w:smallCaps w:val="0"/>
          <w:sz w:val="15"/>
        </w:rPr>
        <w:t>[1]</w:t>
        <w:tab/>
        <w:t>PENGWIN Challenge, "Pelvic bone fragments with injuries segmentation challenge," MICCAI, 2024. [Online]. Disponible: https://pengwin.grand-challenge.org</w:t>
      </w:r>
    </w:p>
    <w:p>
      <w:pPr>
        <w:keepNext w:val="0"/>
        <w:widowControl/>
        <w:tabs>
          <w:tab w:pos="403" w:val="left"/>
        </w:tabs>
        <w:spacing w:before="0" w:after="20" w:line="240" w:lineRule="auto"/>
        <w:ind w:left="403" w:hanging="403"/>
        <w:jc w:val="both"/>
      </w:pPr>
      <w:r>
        <w:rPr>
          <w:rFonts w:ascii="Times New Roman" w:hAnsi="Times New Roman" w:cs="Times New Roman" w:eastAsia="Times New Roman"/>
          <w:b w:val="0"/>
          <w:i w:val="0"/>
          <w:smallCaps w:val="0"/>
          <w:sz w:val="15"/>
        </w:rPr>
        <w:t>[2]</w:t>
        <w:tab/>
        <w:t>PENGWIN Challenge, "PENGWIN CT training data," Zenodo, 2024. [Online]. Disponible: https://zenodo.org</w:t>
      </w:r>
    </w:p>
    <w:p>
      <w:pPr>
        <w:keepNext w:val="0"/>
        <w:widowControl/>
        <w:tabs>
          <w:tab w:pos="403" w:val="left"/>
        </w:tabs>
        <w:spacing w:before="0" w:after="20" w:line="240" w:lineRule="auto"/>
        <w:ind w:left="403" w:hanging="403"/>
        <w:jc w:val="both"/>
      </w:pPr>
      <w:r>
        <w:rPr>
          <w:rFonts w:ascii="Times New Roman" w:hAnsi="Times New Roman" w:cs="Times New Roman" w:eastAsia="Times New Roman"/>
          <w:b w:val="0"/>
          <w:i w:val="0"/>
          <w:smallCaps w:val="0"/>
          <w:sz w:val="15"/>
        </w:rPr>
        <w:t>[3]</w:t>
        <w:tab/>
        <w:t xml:space="preserve">S. Woo, J. Park, J.-Y. Lee y I. S. Kweon, "CBAM: Convolutional block attention module," in </w:t>
      </w:r>
      <w:r>
        <w:rPr>
          <w:rFonts w:ascii="Times New Roman" w:hAnsi="Times New Roman" w:cs="Times New Roman" w:eastAsia="Times New Roman"/>
          <w:b w:val="0"/>
          <w:i/>
          <w:smallCaps w:val="0"/>
          <w:sz w:val="15"/>
        </w:rPr>
        <w:t>Proc. ECCV</w:t>
      </w:r>
      <w:r>
        <w:rPr>
          <w:rFonts w:ascii="Times New Roman" w:hAnsi="Times New Roman" w:cs="Times New Roman" w:eastAsia="Times New Roman"/>
          <w:b w:val="0"/>
          <w:i w:val="0"/>
          <w:smallCaps w:val="0"/>
          <w:sz w:val="15"/>
        </w:rPr>
        <w:t>, Múnich, Alemania, 2018, pp. 3-19.</w:t>
      </w:r>
    </w:p>
    <w:p>
      <w:pPr>
        <w:keepNext w:val="0"/>
        <w:widowControl/>
        <w:tabs>
          <w:tab w:pos="403" w:val="left"/>
        </w:tabs>
        <w:spacing w:before="0" w:after="20" w:line="240" w:lineRule="auto"/>
        <w:ind w:left="403" w:hanging="403"/>
        <w:jc w:val="both"/>
      </w:pPr>
      <w:r>
        <w:rPr>
          <w:rFonts w:ascii="Times New Roman" w:hAnsi="Times New Roman" w:cs="Times New Roman" w:eastAsia="Times New Roman"/>
          <w:b w:val="0"/>
          <w:i w:val="0"/>
          <w:smallCaps w:val="0"/>
          <w:sz w:val="15"/>
        </w:rPr>
        <w:t>[4]</w:t>
        <w:tab/>
        <w:t xml:space="preserve">Z. Tian, C. Shen, H. Chen y T. He, "FCOS: Fully convolutional one-stage object detection," in </w:t>
      </w:r>
      <w:r>
        <w:rPr>
          <w:rFonts w:ascii="Times New Roman" w:hAnsi="Times New Roman" w:cs="Times New Roman" w:eastAsia="Times New Roman"/>
          <w:b w:val="0"/>
          <w:i/>
          <w:smallCaps w:val="0"/>
          <w:sz w:val="15"/>
        </w:rPr>
        <w:t>Proc. ICCV</w:t>
      </w:r>
      <w:r>
        <w:rPr>
          <w:rFonts w:ascii="Times New Roman" w:hAnsi="Times New Roman" w:cs="Times New Roman" w:eastAsia="Times New Roman"/>
          <w:b w:val="0"/>
          <w:i w:val="0"/>
          <w:smallCaps w:val="0"/>
          <w:sz w:val="15"/>
        </w:rPr>
        <w:t>, Seúl, Corea, 2019, pp. 9627-9636.</w:t>
      </w:r>
    </w:p>
    <w:p>
      <w:pPr>
        <w:keepNext w:val="0"/>
        <w:widowControl/>
        <w:tabs>
          <w:tab w:pos="403" w:val="left"/>
        </w:tabs>
        <w:spacing w:before="0" w:after="20" w:line="240" w:lineRule="auto"/>
        <w:ind w:left="403" w:hanging="403"/>
        <w:jc w:val="both"/>
      </w:pPr>
      <w:r>
        <w:rPr>
          <w:rFonts w:ascii="Times New Roman" w:hAnsi="Times New Roman" w:cs="Times New Roman" w:eastAsia="Times New Roman"/>
          <w:b w:val="0"/>
          <w:i w:val="0"/>
          <w:smallCaps w:val="0"/>
          <w:sz w:val="15"/>
        </w:rPr>
        <w:t>[5]</w:t>
        <w:tab/>
        <w:t xml:space="preserve">T.-Y. Lin, P. Goyal, R. Girshick, K. He y P. Dollár, "Focal loss for dense object detection," in </w:t>
      </w:r>
      <w:r>
        <w:rPr>
          <w:rFonts w:ascii="Times New Roman" w:hAnsi="Times New Roman" w:cs="Times New Roman" w:eastAsia="Times New Roman"/>
          <w:b w:val="0"/>
          <w:i/>
          <w:smallCaps w:val="0"/>
          <w:sz w:val="15"/>
        </w:rPr>
        <w:t>Proc. ICCV</w:t>
      </w:r>
      <w:r>
        <w:rPr>
          <w:rFonts w:ascii="Times New Roman" w:hAnsi="Times New Roman" w:cs="Times New Roman" w:eastAsia="Times New Roman"/>
          <w:b w:val="0"/>
          <w:i w:val="0"/>
          <w:smallCaps w:val="0"/>
          <w:sz w:val="15"/>
        </w:rPr>
        <w:t>, Venecia, Italia, 2017, pp. 2980-2988.</w:t>
      </w:r>
    </w:p>
    <w:p>
      <w:pPr>
        <w:keepNext w:val="0"/>
        <w:widowControl/>
        <w:tabs>
          <w:tab w:pos="403" w:val="left"/>
        </w:tabs>
        <w:spacing w:before="0" w:after="20" w:line="240" w:lineRule="auto"/>
        <w:ind w:left="403" w:hanging="403"/>
        <w:jc w:val="both"/>
      </w:pPr>
      <w:r>
        <w:rPr>
          <w:rFonts w:ascii="Times New Roman" w:hAnsi="Times New Roman" w:cs="Times New Roman" w:eastAsia="Times New Roman"/>
          <w:b w:val="0"/>
          <w:i w:val="0"/>
          <w:smallCaps w:val="0"/>
          <w:sz w:val="15"/>
        </w:rPr>
        <w:t>[6]</w:t>
        <w:tab/>
        <w:t xml:space="preserve">H. Rezatofighi et al., "Generalized intersection over union: A metric and a loss for bounding box regression," in </w:t>
      </w:r>
      <w:r>
        <w:rPr>
          <w:rFonts w:ascii="Times New Roman" w:hAnsi="Times New Roman" w:cs="Times New Roman" w:eastAsia="Times New Roman"/>
          <w:b w:val="0"/>
          <w:i/>
          <w:smallCaps w:val="0"/>
          <w:sz w:val="15"/>
        </w:rPr>
        <w:t>Proc. CVPR</w:t>
      </w:r>
      <w:r>
        <w:rPr>
          <w:rFonts w:ascii="Times New Roman" w:hAnsi="Times New Roman" w:cs="Times New Roman" w:eastAsia="Times New Roman"/>
          <w:b w:val="0"/>
          <w:i w:val="0"/>
          <w:smallCaps w:val="0"/>
          <w:sz w:val="15"/>
        </w:rPr>
        <w:t>, Long Beach, EE. UU., 2019, pp. 658-666.</w:t>
      </w:r>
    </w:p>
    <w:p>
      <w:pPr>
        <w:keepNext w:val="0"/>
        <w:widowControl/>
        <w:tabs>
          <w:tab w:pos="403" w:val="left"/>
        </w:tabs>
        <w:spacing w:before="0" w:after="20" w:line="240" w:lineRule="auto"/>
        <w:ind w:left="403" w:hanging="403"/>
        <w:jc w:val="both"/>
      </w:pPr>
      <w:r>
        <w:rPr>
          <w:rFonts w:ascii="Times New Roman" w:hAnsi="Times New Roman" w:cs="Times New Roman" w:eastAsia="Times New Roman"/>
          <w:b w:val="0"/>
          <w:i w:val="0"/>
          <w:smallCaps w:val="0"/>
          <w:sz w:val="15"/>
        </w:rPr>
        <w:t>[7]</w:t>
        <w:tab/>
        <w:t xml:space="preserve">O. Ronneberger, P. Fischer y T. Brox, "U-Net: Convolutional networks for biomedical image segmentation," in </w:t>
      </w:r>
      <w:r>
        <w:rPr>
          <w:rFonts w:ascii="Times New Roman" w:hAnsi="Times New Roman" w:cs="Times New Roman" w:eastAsia="Times New Roman"/>
          <w:b w:val="0"/>
          <w:i/>
          <w:smallCaps w:val="0"/>
          <w:sz w:val="15"/>
        </w:rPr>
        <w:t>Proc. MICCAI</w:t>
      </w:r>
      <w:r>
        <w:rPr>
          <w:rFonts w:ascii="Times New Roman" w:hAnsi="Times New Roman" w:cs="Times New Roman" w:eastAsia="Times New Roman"/>
          <w:b w:val="0"/>
          <w:i w:val="0"/>
          <w:smallCaps w:val="0"/>
          <w:sz w:val="15"/>
        </w:rPr>
        <w:t>, Múnich, Alemania, 2015, pp. 234-241.</w:t>
      </w:r>
    </w:p>
    <w:p>
      <w:pPr>
        <w:keepNext w:val="0"/>
        <w:widowControl/>
        <w:tabs>
          <w:tab w:pos="403" w:val="left"/>
        </w:tabs>
        <w:spacing w:before="0" w:after="20" w:line="240" w:lineRule="auto"/>
        <w:ind w:left="403" w:hanging="403"/>
        <w:jc w:val="both"/>
      </w:pPr>
      <w:r>
        <w:rPr>
          <w:rFonts w:ascii="Times New Roman" w:hAnsi="Times New Roman" w:cs="Times New Roman" w:eastAsia="Times New Roman"/>
          <w:b w:val="0"/>
          <w:i w:val="0"/>
          <w:smallCaps w:val="0"/>
          <w:sz w:val="15"/>
        </w:rPr>
        <w:t>[8]</w:t>
        <w:tab/>
        <w:t xml:space="preserve">Z. Chen, V. Badrinarayanan, C.-Y. Lee y A. Rabinovich, "GradNorm: Gradient normalization for adaptive loss balancing in deep multitask networks," in </w:t>
      </w:r>
      <w:r>
        <w:rPr>
          <w:rFonts w:ascii="Times New Roman" w:hAnsi="Times New Roman" w:cs="Times New Roman" w:eastAsia="Times New Roman"/>
          <w:b w:val="0"/>
          <w:i/>
          <w:smallCaps w:val="0"/>
          <w:sz w:val="15"/>
        </w:rPr>
        <w:t>Proc. ICML</w:t>
      </w:r>
      <w:r>
        <w:rPr>
          <w:rFonts w:ascii="Times New Roman" w:hAnsi="Times New Roman" w:cs="Times New Roman" w:eastAsia="Times New Roman"/>
          <w:b w:val="0"/>
          <w:i w:val="0"/>
          <w:smallCaps w:val="0"/>
          <w:sz w:val="15"/>
        </w:rPr>
        <w:t>, Estocolmo, Suecia, 2018, pp. 794-803.</w:t>
      </w:r>
    </w:p>
    <w:p>
      <w:pPr>
        <w:keepNext w:val="0"/>
        <w:widowControl/>
        <w:tabs>
          <w:tab w:pos="403" w:val="left"/>
        </w:tabs>
        <w:spacing w:before="0" w:after="20" w:line="240" w:lineRule="auto"/>
        <w:ind w:left="403" w:hanging="403"/>
        <w:jc w:val="both"/>
      </w:pPr>
      <w:r>
        <w:rPr>
          <w:rFonts w:ascii="Times New Roman" w:hAnsi="Times New Roman" w:cs="Times New Roman" w:eastAsia="Times New Roman"/>
          <w:b w:val="0"/>
          <w:i w:val="0"/>
          <w:smallCaps w:val="0"/>
          <w:sz w:val="15"/>
        </w:rPr>
        <w:t>[9]</w:t>
        <w:tab/>
        <w:t xml:space="preserve">I. Loshchilov y F. Hutter, "Decoupled weight decay regularization," in </w:t>
      </w:r>
      <w:r>
        <w:rPr>
          <w:rFonts w:ascii="Times New Roman" w:hAnsi="Times New Roman" w:cs="Times New Roman" w:eastAsia="Times New Roman"/>
          <w:b w:val="0"/>
          <w:i/>
          <w:smallCaps w:val="0"/>
          <w:sz w:val="15"/>
        </w:rPr>
        <w:t>Proc. ICLR</w:t>
      </w:r>
      <w:r>
        <w:rPr>
          <w:rFonts w:ascii="Times New Roman" w:hAnsi="Times New Roman" w:cs="Times New Roman" w:eastAsia="Times New Roman"/>
          <w:b w:val="0"/>
          <w:i w:val="0"/>
          <w:smallCaps w:val="0"/>
          <w:sz w:val="15"/>
        </w:rPr>
        <w:t>, Nueva Orleans, EE. UU., 2019.</w:t>
      </w:r>
    </w:p>
    <w:p>
      <w:pPr>
        <w:keepNext w:val="0"/>
        <w:widowControl/>
        <w:tabs>
          <w:tab w:pos="403" w:val="left"/>
        </w:tabs>
        <w:spacing w:before="0" w:after="20" w:line="240" w:lineRule="auto"/>
        <w:ind w:left="403" w:hanging="403"/>
        <w:jc w:val="both"/>
      </w:pPr>
      <w:r>
        <w:rPr>
          <w:rFonts w:ascii="Times New Roman" w:hAnsi="Times New Roman" w:cs="Times New Roman" w:eastAsia="Times New Roman"/>
          <w:b w:val="0"/>
          <w:i w:val="0"/>
          <w:smallCaps w:val="0"/>
          <w:sz w:val="15"/>
        </w:rPr>
        <w:t>[10]</w:t>
        <w:tab/>
        <w:t xml:space="preserve">G. Wang, W. Li, M. Aertsen, J. Deprest, S. Ourselin y T. Vercauteren, "Aleatoric uncertainty estimation with test-time augmentation for medical image segmentation with convolutional neural networks," </w:t>
      </w:r>
      <w:r>
        <w:rPr>
          <w:rFonts w:ascii="Times New Roman" w:hAnsi="Times New Roman" w:cs="Times New Roman" w:eastAsia="Times New Roman"/>
          <w:b w:val="0"/>
          <w:i/>
          <w:smallCaps w:val="0"/>
          <w:sz w:val="15"/>
        </w:rPr>
        <w:t>Neurocomputing</w:t>
      </w:r>
      <w:r>
        <w:rPr>
          <w:rFonts w:ascii="Times New Roman" w:hAnsi="Times New Roman" w:cs="Times New Roman" w:eastAsia="Times New Roman"/>
          <w:b w:val="0"/>
          <w:i w:val="0"/>
          <w:smallCaps w:val="0"/>
          <w:sz w:val="15"/>
        </w:rPr>
        <w:t>, vol. 338, pp. 34-45, 2019.</w:t>
      </w:r>
    </w:p>
    <w:p>
      <w:pPr>
        <w:keepNext w:val="0"/>
        <w:widowControl/>
        <w:tabs>
          <w:tab w:pos="403" w:val="left"/>
        </w:tabs>
        <w:spacing w:before="0" w:after="20" w:line="240" w:lineRule="auto"/>
        <w:ind w:left="403" w:hanging="403"/>
        <w:jc w:val="both"/>
      </w:pPr>
      <w:r>
        <w:rPr>
          <w:rFonts w:ascii="Times New Roman" w:hAnsi="Times New Roman" w:cs="Times New Roman" w:eastAsia="Times New Roman"/>
          <w:b w:val="0"/>
          <w:i w:val="0"/>
          <w:smallCaps w:val="0"/>
          <w:sz w:val="15"/>
        </w:rPr>
        <w:t>[11]</w:t>
        <w:tab/>
        <w:t xml:space="preserve">C. R. Maurer, R. Qi y V. Raghavan, "A linear time algorithm for computing exact Euclidean distance transforms of binary images in arbitrary dimensions," </w:t>
      </w:r>
      <w:r>
        <w:rPr>
          <w:rFonts w:ascii="Times New Roman" w:hAnsi="Times New Roman" w:cs="Times New Roman" w:eastAsia="Times New Roman"/>
          <w:b w:val="0"/>
          <w:i/>
          <w:smallCaps w:val="0"/>
          <w:sz w:val="15"/>
        </w:rPr>
        <w:t>IEEE Trans. Pattern Anal. Mach. Intell.</w:t>
      </w:r>
      <w:r>
        <w:rPr>
          <w:rFonts w:ascii="Times New Roman" w:hAnsi="Times New Roman" w:cs="Times New Roman" w:eastAsia="Times New Roman"/>
          <w:b w:val="0"/>
          <w:i w:val="0"/>
          <w:smallCaps w:val="0"/>
          <w:sz w:val="15"/>
        </w:rPr>
        <w:t>, vol. 25, no. 2, pp. 265-270, 2003.</w:t>
      </w:r>
    </w:p>
    <w:p>
      <w:pPr>
        <w:keepNext w:val="0"/>
        <w:widowControl/>
        <w:tabs>
          <w:tab w:pos="403" w:val="left"/>
        </w:tabs>
        <w:spacing w:before="0" w:after="20" w:line="240" w:lineRule="auto"/>
        <w:ind w:left="403" w:hanging="403"/>
        <w:jc w:val="both"/>
      </w:pPr>
      <w:r>
        <w:rPr>
          <w:rFonts w:ascii="Times New Roman" w:hAnsi="Times New Roman" w:cs="Times New Roman" w:eastAsia="Times New Roman"/>
          <w:b w:val="0"/>
          <w:i w:val="0"/>
          <w:smallCaps w:val="0"/>
          <w:sz w:val="15"/>
        </w:rPr>
        <w:t>[12]</w:t>
        <w:tab/>
        <w:t xml:space="preserve">Z. Zhou, M. M. Rahman Siddiquee, N. Tajbakhsh y J. Liang, "UNet++: A nested U-Net architecture for medical image segmentation," in </w:t>
      </w:r>
      <w:r>
        <w:rPr>
          <w:rFonts w:ascii="Times New Roman" w:hAnsi="Times New Roman" w:cs="Times New Roman" w:eastAsia="Times New Roman"/>
          <w:b w:val="0"/>
          <w:i/>
          <w:smallCaps w:val="0"/>
          <w:sz w:val="15"/>
        </w:rPr>
        <w:t>Proc. DLMIA (MICCAI Workshops)</w:t>
      </w:r>
      <w:r>
        <w:rPr>
          <w:rFonts w:ascii="Times New Roman" w:hAnsi="Times New Roman" w:cs="Times New Roman" w:eastAsia="Times New Roman"/>
          <w:b w:val="0"/>
          <w:i w:val="0"/>
          <w:smallCaps w:val="0"/>
          <w:sz w:val="15"/>
        </w:rPr>
        <w:t>, Granada, España, 2018, pp. 3-11.</w:t>
      </w:r>
    </w:p>
    <w:p>
      <w:pPr>
        <w:keepNext w:val="0"/>
        <w:widowControl/>
        <w:tabs>
          <w:tab w:pos="403" w:val="left"/>
        </w:tabs>
        <w:spacing w:before="0" w:after="20" w:line="240" w:lineRule="auto"/>
        <w:ind w:left="403" w:hanging="403"/>
        <w:jc w:val="both"/>
      </w:pPr>
      <w:r>
        <w:rPr>
          <w:rFonts w:ascii="Times New Roman" w:hAnsi="Times New Roman" w:cs="Times New Roman" w:eastAsia="Times New Roman"/>
          <w:b w:val="0"/>
          <w:i w:val="0"/>
          <w:smallCaps w:val="0"/>
          <w:sz w:val="15"/>
        </w:rPr>
        <w:t>[13]</w:t>
        <w:tab/>
        <w:t xml:space="preserve">R. R. Selvaraju, M. Cogswell, A. Das, R. Vedantam, D. Parikh y D. Batra, "Grad-CAM: Visual explanations from deep networks via gradient-based localization," in </w:t>
      </w:r>
      <w:r>
        <w:rPr>
          <w:rFonts w:ascii="Times New Roman" w:hAnsi="Times New Roman" w:cs="Times New Roman" w:eastAsia="Times New Roman"/>
          <w:b w:val="0"/>
          <w:i/>
          <w:smallCaps w:val="0"/>
          <w:sz w:val="15"/>
        </w:rPr>
        <w:t>Proc. ICCV</w:t>
      </w:r>
      <w:r>
        <w:rPr>
          <w:rFonts w:ascii="Times New Roman" w:hAnsi="Times New Roman" w:cs="Times New Roman" w:eastAsia="Times New Roman"/>
          <w:b w:val="0"/>
          <w:i w:val="0"/>
          <w:smallCaps w:val="0"/>
          <w:sz w:val="15"/>
        </w:rPr>
        <w:t>, Venecia, Italia, 2017, pp. 618-626.</w:t>
      </w:r>
    </w:p>
    <w:p>
      <w:pPr>
        <w:keepNext w:val="0"/>
        <w:widowControl/>
        <w:tabs>
          <w:tab w:pos="403" w:val="left"/>
        </w:tabs>
        <w:spacing w:before="0" w:after="20" w:line="240" w:lineRule="auto"/>
        <w:ind w:left="403" w:hanging="403"/>
        <w:jc w:val="both"/>
      </w:pPr>
      <w:r>
        <w:rPr>
          <w:rFonts w:ascii="Times New Roman" w:hAnsi="Times New Roman" w:cs="Times New Roman" w:eastAsia="Times New Roman"/>
          <w:b w:val="0"/>
          <w:i w:val="0"/>
          <w:smallCaps w:val="0"/>
          <w:sz w:val="15"/>
        </w:rPr>
        <w:t>[14]</w:t>
        <w:tab/>
        <w:t xml:space="preserve">A. Kirillov et al., "Segment anything," in </w:t>
      </w:r>
      <w:r>
        <w:rPr>
          <w:rFonts w:ascii="Times New Roman" w:hAnsi="Times New Roman" w:cs="Times New Roman" w:eastAsia="Times New Roman"/>
          <w:b w:val="0"/>
          <w:i/>
          <w:smallCaps w:val="0"/>
          <w:sz w:val="15"/>
        </w:rPr>
        <w:t>Proc. ICCV</w:t>
      </w:r>
      <w:r>
        <w:rPr>
          <w:rFonts w:ascii="Times New Roman" w:hAnsi="Times New Roman" w:cs="Times New Roman" w:eastAsia="Times New Roman"/>
          <w:b w:val="0"/>
          <w:i w:val="0"/>
          <w:smallCaps w:val="0"/>
          <w:sz w:val="15"/>
        </w:rPr>
        <w:t>, París, Francia, 2023, pp. 4015-4026.</w:t>
      </w:r>
    </w:p>
    <w:sectPr w:rsidR="00FC693F" w:rsidRPr="0006063C" w:rsidSect="00034616">
      <w:type w:val="continuous"/>
      <w:pgSz w:w="12240" w:h="15840"/>
      <w:pgMar w:top="1080" w:right="893" w:bottom="1440" w:left="893"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