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200" w:line="264" w:lineRule="auto"/>
      </w:pPr>
      <w:r>
        <w:rPr>
          <w:rFonts w:ascii="Calibri" w:hAnsi="Calibri" w:eastAsia="Calibri"/>
          <w:b/>
          <w:i w:val="0"/>
          <w:color w:val="34B3DE"/>
          <w:sz w:val="24"/>
        </w:rPr>
        <w:t>HIDROTÉCNICA SpA</w:t>
      </w:r>
    </w:p>
    <w:p>
      <w:pPr>
        <w:spacing w:after="40" w:before="0" w:line="264" w:lineRule="auto"/>
      </w:pPr>
      <w:r>
        <w:rPr>
          <w:rFonts w:ascii="Calibri" w:hAnsi="Calibri" w:eastAsia="Calibri"/>
          <w:b/>
          <w:i w:val="0"/>
          <w:color w:val="112548"/>
          <w:sz w:val="44"/>
        </w:rPr>
        <w:t>HT-AP-03 · Hoja de actualización v1.45</w:t>
      </w:r>
    </w:p>
    <w:p>
      <w:pPr>
        <w:spacing w:after="200" w:before="0" w:line="264" w:lineRule="auto"/>
      </w:pPr>
      <w:r>
        <w:rPr>
          <w:rFonts w:ascii="Calibri" w:hAnsi="Calibri" w:eastAsia="Calibri"/>
          <w:b w:val="0"/>
          <w:i w:val="0"/>
          <w:color w:val="112548"/>
          <w:sz w:val="26"/>
        </w:rPr>
        <w:t>CRM Comercial Hidrotécnica — se retira «Factura sugerida»</w:t>
      </w:r>
    </w:p>
    <w:tbl>
      <w:tblPr>
        <w:tblW w:type="auto" w:w="0"/>
        <w:jc w:val="center"/>
        <w:tblLayout w:type="fixed"/>
        <w:tblLook w:firstColumn="1" w:firstRow="1" w:lastColumn="0" w:lastRow="0" w:noHBand="0" w:noVBand="1" w:val="04A0"/>
        <w:tblBorders>
          <w:top w:val="single" w:sz="4" w:space="0" w:color="34B3DE"/>
          <w:left w:val="single" w:sz="4" w:space="0" w:color="34B3DE"/>
          <w:bottom w:val="single" w:sz="4" w:space="0" w:color="34B3DE"/>
          <w:right w:val="single" w:sz="4" w:space="0" w:color="34B3DE"/>
          <w:insideH w:val="single" w:sz="4" w:space="0" w:color="34B3DE"/>
          <w:insideV w:val="single" w:sz="4" w:space="0" w:color="34B3DE"/>
        </w:tblBorders>
        <w:tblLayout w:type="fixed"/>
      </w:tblPr>
      <w:tblGrid>
        <w:gridCol w:w="2608"/>
        <w:gridCol w:w="7030"/>
      </w:tblGrid>
      <w:tr>
        <w:tc>
          <w:tcPr>
            <w:tcW w:type="dxa" w:w="2608"/>
            <w:shd w:val="clear" w:color="auto" w:fill="112548"/>
          </w:tcPr>
          <w:p>
            <w:pPr>
              <w:spacing w:after="40"/>
            </w:pPr>
            <w:r>
              <w:rPr>
                <w:rFonts w:ascii="Calibri" w:hAnsi="Calibri" w:eastAsia="Calibri"/>
                <w:b/>
                <w:i w:val="0"/>
                <w:color w:val="FFFFFF"/>
                <w:sz w:val="20"/>
              </w:rPr>
              <w:t>Dato</w:t>
            </w:r>
          </w:p>
        </w:tc>
        <w:tc>
          <w:tcPr>
            <w:tcW w:type="dxa" w:w="7030"/>
            <w:shd w:val="clear" w:color="auto" w:fill="112548"/>
          </w:tcPr>
          <w:p>
            <w:pPr>
              <w:spacing w:after="40"/>
            </w:pPr>
            <w:r>
              <w:rPr>
                <w:rFonts w:ascii="Calibri" w:hAnsi="Calibri" w:eastAsia="Calibri"/>
                <w:b/>
                <w:i w:val="0"/>
                <w:color w:val="FFFFFF"/>
                <w:sz w:val="20"/>
              </w:rPr>
              <w:t>Detalle</w:t>
            </w:r>
          </w:p>
        </w:tc>
      </w:tr>
      <w:tr>
        <w:trPr>
          <w:cantSplit/>
        </w:trPr>
        <w:tc>
          <w:tcPr>
            <w:tcW w:type="dxa" w:w="2608"/>
          </w:tcPr>
          <w:p>
            <w:pPr>
              <w:spacing w:after="40"/>
            </w:pPr>
            <w:r>
              <w:rPr>
                <w:rFonts w:ascii="Calibri" w:hAnsi="Calibri" w:eastAsia="Calibri"/>
                <w:b w:val="0"/>
                <w:i w:val="0"/>
                <w:color w:val="112548"/>
                <w:sz w:val="20"/>
              </w:rPr>
              <w:t>Documento a actualizar</w:t>
            </w:r>
          </w:p>
        </w:tc>
        <w:tc>
          <w:tcPr>
            <w:tcW w:type="dxa" w:w="7030"/>
          </w:tcPr>
          <w:p>
            <w:pPr>
              <w:spacing w:after="40"/>
            </w:pPr>
            <w:r>
              <w:rPr>
                <w:rFonts w:ascii="Calibri" w:hAnsi="Calibri" w:eastAsia="Calibri"/>
                <w:b w:val="0"/>
                <w:i w:val="0"/>
                <w:color w:val="112548"/>
                <w:sz w:val="20"/>
              </w:rPr>
              <w:t>HT-AP-03 Documento Consolidado CRM Comercial Hidrotécnica, v1.40 (01-10-2026), con las hojas anteriores ya aplicadas en orden</w:t>
            </w:r>
          </w:p>
        </w:tc>
      </w:tr>
      <w:tr>
        <w:trPr>
          <w:cantSplit/>
        </w:trPr>
        <w:tc>
          <w:tcPr>
            <w:tcW w:type="dxa" w:w="2608"/>
          </w:tcPr>
          <w:p>
            <w:pPr>
              <w:spacing w:after="40"/>
            </w:pPr>
            <w:r>
              <w:rPr>
                <w:rFonts w:ascii="Calibri" w:hAnsi="Calibri" w:eastAsia="Calibri"/>
                <w:b w:val="0"/>
                <w:i w:val="0"/>
                <w:color w:val="112548"/>
                <w:sz w:val="20"/>
              </w:rPr>
              <w:t>Cambio que se incorpora</w:t>
            </w:r>
          </w:p>
        </w:tc>
        <w:tc>
          <w:tcPr>
            <w:tcW w:type="dxa" w:w="7030"/>
          </w:tcPr>
          <w:p>
            <w:pPr>
              <w:spacing w:after="40"/>
            </w:pPr>
            <w:r>
              <w:rPr>
                <w:rFonts w:ascii="Calibri" w:hAnsi="Calibri" w:eastAsia="Calibri"/>
                <w:b w:val="0"/>
                <w:i w:val="0"/>
                <w:color w:val="112548"/>
                <w:sz w:val="20"/>
              </w:rPr>
              <w:t>Nota de cambio v1.45 — Se retira «Factura sugerida» (08-10-2026)</w:t>
            </w:r>
          </w:p>
        </w:tc>
      </w:tr>
      <w:tr>
        <w:trPr>
          <w:cantSplit/>
        </w:trPr>
        <w:tc>
          <w:tcPr>
            <w:tcW w:type="dxa" w:w="2608"/>
          </w:tcPr>
          <w:p>
            <w:pPr>
              <w:spacing w:after="40"/>
            </w:pPr>
            <w:r>
              <w:rPr>
                <w:rFonts w:ascii="Calibri" w:hAnsi="Calibri" w:eastAsia="Calibri"/>
                <w:b w:val="0"/>
                <w:i w:val="0"/>
                <w:color w:val="112548"/>
                <w:sz w:val="20"/>
              </w:rPr>
              <w:t>Estado del cambio</w:t>
            </w:r>
          </w:p>
        </w:tc>
        <w:tc>
          <w:tcPr>
            <w:tcW w:type="dxa" w:w="7030"/>
          </w:tcPr>
          <w:p>
            <w:pPr>
              <w:spacing w:after="40"/>
            </w:pPr>
            <w:r>
              <w:rPr>
                <w:rFonts w:ascii="Calibri" w:hAnsi="Calibri" w:eastAsia="Calibri"/>
                <w:b w:val="0"/>
                <w:i w:val="0"/>
                <w:color w:val="112548"/>
                <w:sz w:val="20"/>
              </w:rPr>
              <w:t>En producción desde el 12-10-2026 (rama main, commits aab0e7c a 16775b5). Verificado: producción mostró la versión 19b1525, que los incluye. Falta la confirmación formal de Success en Railway por Luis Devoto.</w:t>
            </w:r>
          </w:p>
        </w:tc>
      </w:tr>
      <w:tr>
        <w:trPr>
          <w:cantSplit/>
        </w:trPr>
        <w:tc>
          <w:tcPr>
            <w:tcW w:type="dxa" w:w="2608"/>
          </w:tcPr>
          <w:p>
            <w:pPr>
              <w:spacing w:after="40"/>
            </w:pPr>
            <w:r>
              <w:rPr>
                <w:rFonts w:ascii="Calibri" w:hAnsi="Calibri" w:eastAsia="Calibri"/>
                <w:b w:val="0"/>
                <w:i w:val="0"/>
                <w:color w:val="112548"/>
                <w:sz w:val="20"/>
              </w:rPr>
              <w:t>Clasificación</w:t>
            </w:r>
          </w:p>
        </w:tc>
        <w:tc>
          <w:tcPr>
            <w:tcW w:type="dxa" w:w="7030"/>
          </w:tcPr>
          <w:p>
            <w:pPr>
              <w:spacing w:after="40"/>
            </w:pPr>
            <w:r>
              <w:rPr>
                <w:rFonts w:ascii="Calibri" w:hAnsi="Calibri" w:eastAsia="Calibri"/>
                <w:b w:val="0"/>
                <w:i w:val="0"/>
                <w:color w:val="112548"/>
                <w:sz w:val="20"/>
              </w:rPr>
              <w:t>Uso interno</w:t>
            </w:r>
          </w:p>
        </w:tc>
      </w:tr>
    </w:tbl>
    <w:p>
      <w:pPr>
        <w:spacing w:after="40" w:before="0" w:line="264" w:lineRule="auto"/>
      </w:pPr>
    </w:p>
    <w:p>
      <w:pPr>
        <w:spacing w:after="160" w:before="0" w:line="264" w:lineRule="auto"/>
      </w:pPr>
      <w:r>
        <w:rPr>
          <w:rFonts w:ascii="Calibri" w:hAnsi="Calibri" w:eastAsia="Calibri"/>
          <w:b w:val="0"/>
          <w:i/>
          <w:color w:val="555555"/>
          <w:sz w:val="20"/>
        </w:rPr>
        <w:t>Este documento contiene solo el texto nuevo, con el lugar donde se inserta en el consolidado vigente (que ya lleva logo, encabezado y numeración). Aplicar las hojas en orden: v1.42, v1.43, v1.44, v1.45, v1.46 y v1.47. La nota de cambio v1.41 (integración con Mantenimiento) no está incluida: sigue solo en staging. Las frases a buscar se copian tal como están en el consolidado v1.40; si alguna no se encuentra, ubicar el párrafo por su título.</w:t>
      </w:r>
    </w:p>
    <w:p>
      <w:pPr>
        <w:keepNext/>
        <w:spacing w:after="80" w:before="240" w:line="264" w:lineRule="auto"/>
        <w:pBdr>
          <w:bottom w:val="single" w:sz="8" w:space="2" w:color="34B3DE"/>
        </w:pBdr>
      </w:pPr>
      <w:r>
        <w:rPr>
          <w:rFonts w:ascii="Calibri" w:hAnsi="Calibri" w:eastAsia="Calibri"/>
          <w:b/>
          <w:i w:val="0"/>
          <w:color w:val="112548"/>
          <w:sz w:val="26"/>
        </w:rPr>
        <w:t>1. Control de versiones — fila nueva</w:t>
      </w:r>
    </w:p>
    <w:p>
      <w:pPr>
        <w:spacing w:after="80" w:before="0" w:line="264" w:lineRule="auto"/>
      </w:pPr>
      <w:r>
        <w:rPr>
          <w:rFonts w:ascii="Calibri" w:hAnsi="Calibri" w:eastAsia="Calibri"/>
          <w:b w:val="0"/>
          <w:i w:val="0"/>
          <w:color w:val="112548"/>
          <w:sz w:val="21"/>
        </w:rPr>
        <w:t>Agregar al final de la tabla de control de versiones del consolidado y ajustar versión, fecha de vigencia y próxima revisión de la portada según la numeración que se asigne al consolidar:</w:t>
      </w:r>
    </w:p>
    <w:tbl>
      <w:tblPr>
        <w:tblW w:type="auto" w:w="0"/>
        <w:jc w:val="center"/>
        <w:tblLayout w:type="fixed"/>
        <w:tblLook w:firstColumn="1" w:firstRow="1" w:lastColumn="0" w:lastRow="0" w:noHBand="0" w:noVBand="1" w:val="04A0"/>
        <w:tblBorders>
          <w:top w:val="single" w:sz="4" w:space="0" w:color="34B3DE"/>
          <w:left w:val="single" w:sz="4" w:space="0" w:color="34B3DE"/>
          <w:bottom w:val="single" w:sz="4" w:space="0" w:color="34B3DE"/>
          <w:right w:val="single" w:sz="4" w:space="0" w:color="34B3DE"/>
          <w:insideH w:val="single" w:sz="4" w:space="0" w:color="34B3DE"/>
          <w:insideV w:val="single" w:sz="4" w:space="0" w:color="34B3DE"/>
        </w:tblBorders>
        <w:tblLayout w:type="fixed"/>
      </w:tblPr>
      <w:tblGrid>
        <w:gridCol w:w="1134"/>
        <w:gridCol w:w="1361"/>
        <w:gridCol w:w="5896"/>
        <w:gridCol w:w="1474"/>
      </w:tblGrid>
      <w:tr>
        <w:tc>
          <w:tcPr>
            <w:tcW w:type="dxa" w:w="1134"/>
            <w:shd w:val="clear" w:color="auto" w:fill="112548"/>
          </w:tcPr>
          <w:p>
            <w:pPr>
              <w:spacing w:after="40"/>
            </w:pPr>
            <w:r>
              <w:rPr>
                <w:rFonts w:ascii="Calibri" w:hAnsi="Calibri" w:eastAsia="Calibri"/>
                <w:b/>
                <w:i w:val="0"/>
                <w:color w:val="FFFFFF"/>
                <w:sz w:val="19"/>
              </w:rPr>
              <w:t>Versión</w:t>
            </w:r>
          </w:p>
        </w:tc>
        <w:tc>
          <w:tcPr>
            <w:tcW w:type="dxa" w:w="1361"/>
            <w:shd w:val="clear" w:color="auto" w:fill="112548"/>
          </w:tcPr>
          <w:p>
            <w:pPr>
              <w:spacing w:after="40"/>
            </w:pPr>
            <w:r>
              <w:rPr>
                <w:rFonts w:ascii="Calibri" w:hAnsi="Calibri" w:eastAsia="Calibri"/>
                <w:b/>
                <w:i w:val="0"/>
                <w:color w:val="FFFFFF"/>
                <w:sz w:val="19"/>
              </w:rPr>
              <w:t>Fecha</w:t>
            </w:r>
          </w:p>
        </w:tc>
        <w:tc>
          <w:tcPr>
            <w:tcW w:type="dxa" w:w="5896"/>
            <w:shd w:val="clear" w:color="auto" w:fill="112548"/>
          </w:tcPr>
          <w:p>
            <w:pPr>
              <w:spacing w:after="40"/>
            </w:pPr>
            <w:r>
              <w:rPr>
                <w:rFonts w:ascii="Calibri" w:hAnsi="Calibri" w:eastAsia="Calibri"/>
                <w:b/>
                <w:i w:val="0"/>
                <w:color w:val="FFFFFF"/>
                <w:sz w:val="19"/>
              </w:rPr>
              <w:t>Descripción del cambio</w:t>
            </w:r>
          </w:p>
        </w:tc>
        <w:tc>
          <w:tcPr>
            <w:tcW w:type="dxa" w:w="1474"/>
            <w:shd w:val="clear" w:color="auto" w:fill="112548"/>
          </w:tcPr>
          <w:p>
            <w:pPr>
              <w:spacing w:after="40"/>
            </w:pPr>
            <w:r>
              <w:rPr>
                <w:rFonts w:ascii="Calibri" w:hAnsi="Calibri" w:eastAsia="Calibri"/>
                <w:b/>
                <w:i w:val="0"/>
                <w:color w:val="FFFFFF"/>
                <w:sz w:val="19"/>
              </w:rPr>
              <w:t>Autor</w:t>
            </w:r>
          </w:p>
        </w:tc>
      </w:tr>
      <w:tr>
        <w:trPr>
          <w:cantSplit/>
        </w:trPr>
        <w:tc>
          <w:tcPr>
            <w:tcW w:type="dxa" w:w="1134"/>
          </w:tcPr>
          <w:p>
            <w:pPr>
              <w:spacing w:after="40"/>
            </w:pPr>
            <w:r>
              <w:rPr>
                <w:rFonts w:ascii="Calibri" w:hAnsi="Calibri" w:eastAsia="Calibri"/>
                <w:b w:val="0"/>
                <w:i w:val="0"/>
                <w:color w:val="112548"/>
                <w:sz w:val="19"/>
              </w:rPr>
              <w:t>v1.45</w:t>
            </w:r>
          </w:p>
        </w:tc>
        <w:tc>
          <w:tcPr>
            <w:tcW w:type="dxa" w:w="1361"/>
          </w:tcPr>
          <w:p>
            <w:pPr>
              <w:spacing w:after="40"/>
            </w:pPr>
            <w:r>
              <w:rPr>
                <w:rFonts w:ascii="Calibri" w:hAnsi="Calibri" w:eastAsia="Calibri"/>
                <w:b w:val="0"/>
                <w:i w:val="0"/>
                <w:color w:val="112548"/>
                <w:sz w:val="19"/>
              </w:rPr>
              <w:t>08-10-2026</w:t>
            </w:r>
          </w:p>
        </w:tc>
        <w:tc>
          <w:tcPr>
            <w:tcW w:type="dxa" w:w="5896"/>
          </w:tcPr>
          <w:p>
            <w:pPr>
              <w:spacing w:after="40"/>
            </w:pPr>
            <w:r>
              <w:rPr>
                <w:rFonts w:ascii="Calibri" w:hAnsi="Calibri" w:eastAsia="Calibri"/>
                <w:b w:val="0"/>
                <w:i w:val="0"/>
                <w:color w:val="112548"/>
                <w:sz w:val="19"/>
              </w:rPr>
              <w:t>Incorpora la nota de cambio v1.45: se retira la función «Factura sugerida» (v1.33) del Pipeline y de Reportería Softland, porque cruzar solo RUT y monto no identificaba el negocio. Detalle en §9 y §13.</w:t>
            </w:r>
          </w:p>
        </w:tc>
        <w:tc>
          <w:tcPr>
            <w:tcW w:type="dxa" w:w="1474"/>
          </w:tcPr>
          <w:p>
            <w:pPr>
              <w:spacing w:after="40"/>
            </w:pPr>
            <w:r>
              <w:rPr>
                <w:rFonts w:ascii="Calibri" w:hAnsi="Calibri" w:eastAsia="Calibri"/>
                <w:b w:val="0"/>
                <w:i w:val="0"/>
                <w:color w:val="112548"/>
                <w:sz w:val="19"/>
              </w:rPr>
              <w:t>Luis Devoto / Claude (IA)</w:t>
            </w:r>
          </w:p>
        </w:tc>
      </w:tr>
    </w:tbl>
    <w:p>
      <w:pPr>
        <w:spacing w:after="40" w:before="0" w:line="264" w:lineRule="auto"/>
      </w:pPr>
    </w:p>
    <w:p>
      <w:pPr>
        <w:keepNext/>
        <w:spacing w:after="80" w:before="240" w:line="264" w:lineRule="auto"/>
        <w:pBdr>
          <w:bottom w:val="single" w:sz="8" w:space="2" w:color="34B3DE"/>
        </w:pBdr>
      </w:pPr>
      <w:r>
        <w:rPr>
          <w:rFonts w:ascii="Calibri" w:hAnsi="Calibri" w:eastAsia="Calibri"/>
          <w:b/>
          <w:i w:val="0"/>
          <w:color w:val="112548"/>
          <w:sz w:val="26"/>
        </w:rPr>
        <w:t>2. §9 Reportería (Softland) — reemplazar el párrafo «Sugerencias de facturación (v1.33)»</w:t>
      </w:r>
    </w:p>
    <w:p>
      <w:pPr>
        <w:spacing w:after="80" w:before="0" w:line="264" w:lineRule="auto"/>
      </w:pPr>
      <w:r>
        <w:rPr>
          <w:rFonts w:ascii="Calibri" w:hAnsi="Calibri" w:eastAsia="Calibri"/>
          <w:b w:val="0"/>
          <w:i w:val="0"/>
          <w:color w:val="112548"/>
          <w:sz w:val="21"/>
        </w:rPr>
        <w:t>Reemplazar el párrafo completo que empieza con «Sugerencias de facturación (v1.33): al sincronizar con Softland…» y termina en «…nota de cambio v1.33.» por:</w:t>
      </w:r>
    </w:p>
    <w:p>
      <w:pPr>
        <w:spacing w:after="80" w:before="0" w:line="264" w:lineRule="auto"/>
        <w:pBdr>
          <w:left w:val="single" w:sz="18" w:space="8" w:color="34B3DE"/>
        </w:pBdr>
        <w:ind w:left="227"/>
      </w:pPr>
      <w:r>
        <w:rPr>
          <w:rFonts w:ascii="Calibri" w:hAnsi="Calibri" w:eastAsia="Calibri"/>
          <w:b/>
          <w:i w:val="0"/>
          <w:color w:val="112548"/>
          <w:sz w:val="21"/>
        </w:rPr>
        <w:t>Sugerencias de facturación (v1.33) — retirada en la v1.45 (08-10-2026).</w:t>
      </w:r>
      <w:r>
        <w:rPr>
          <w:rFonts w:ascii="Calibri" w:hAnsi="Calibri" w:eastAsia="Calibri"/>
          <w:b w:val="0"/>
          <w:i w:val="0"/>
          <w:color w:val="112548"/>
          <w:sz w:val="21"/>
        </w:rPr>
        <w:t xml:space="preserve"> La función cruzaba facturas de Softland con negocios por RUT de empresa y monto exacto, y mostraba una insignia verde «Factura sugerida» en la tarjeta del Pipeline con los botones Confirmar y Descartar. No funcionó: en clientes recurrentes (por ejemplo Cencosud) el mismo monto se repite en decenas de negocios, así que la misma factura aparecía sugerida en muchas tarjetas, incluso de negocios en «Aceptado» que ni siquiera se habían ejecutado.</w:t>
      </w:r>
    </w:p>
    <w:p>
      <w:pPr>
        <w:spacing w:after="80" w:before="0" w:line="264" w:lineRule="auto"/>
        <w:pBdr>
          <w:left w:val="single" w:sz="18" w:space="8" w:color="34B3DE"/>
        </w:pBdr>
        <w:ind w:left="227"/>
      </w:pPr>
      <w:r>
        <w:rPr>
          <w:rFonts w:ascii="Calibri" w:hAnsi="Calibri" w:eastAsia="Calibri"/>
          <w:b w:val="0"/>
          <w:i w:val="0"/>
          <w:color w:val="112548"/>
          <w:sz w:val="21"/>
        </w:rPr>
        <w:t xml:space="preserve">Se quitaron la insignia y los botones del Pipeline, la pestaña «Sugerencias de facturación» de Reportería Softland, los tres endpoints </w:t>
      </w:r>
      <w:r>
        <w:rPr>
          <w:rFonts w:ascii="Consolas" w:hAnsi="Consolas" w:eastAsia="Consolas"/>
          <w:b w:val="0"/>
          <w:i w:val="0"/>
          <w:color w:val="112548"/>
          <w:sz w:val="20"/>
        </w:rPr>
        <w:t>/api/softland/sugerencias-facturacion</w:t>
      </w:r>
      <w:r>
        <w:rPr>
          <w:rFonts w:ascii="Calibri" w:hAnsi="Calibri" w:eastAsia="Calibri"/>
          <w:b w:val="0"/>
          <w:i w:val="0"/>
          <w:color w:val="112548"/>
          <w:sz w:val="21"/>
        </w:rPr>
        <w:t xml:space="preserve"> (listar, confirmar y descartar) y el servicio </w:t>
      </w:r>
      <w:r>
        <w:rPr>
          <w:rFonts w:ascii="Consolas" w:hAnsi="Consolas" w:eastAsia="Consolas"/>
          <w:b w:val="0"/>
          <w:i w:val="0"/>
          <w:color w:val="112548"/>
          <w:sz w:val="20"/>
        </w:rPr>
        <w:t>services/sugerenciasFacturacion.js</w:t>
      </w:r>
      <w:r>
        <w:rPr>
          <w:rFonts w:ascii="Calibri" w:hAnsi="Calibri" w:eastAsia="Calibri"/>
          <w:b w:val="0"/>
          <w:i w:val="0"/>
          <w:color w:val="112548"/>
          <w:sz w:val="21"/>
        </w:rPr>
        <w:t xml:space="preserve">. Se conservan las columnas </w:t>
      </w:r>
      <w:r>
        <w:rPr>
          <w:rFonts w:ascii="Consolas" w:hAnsi="Consolas" w:eastAsia="Consolas"/>
          <w:b w:val="0"/>
          <w:i w:val="0"/>
          <w:color w:val="112548"/>
          <w:sz w:val="20"/>
        </w:rPr>
        <w:t>negocio_id</w:t>
      </w:r>
      <w:r>
        <w:rPr>
          <w:rFonts w:ascii="Calibri" w:hAnsi="Calibri" w:eastAsia="Calibri"/>
          <w:b w:val="0"/>
          <w:i w:val="0"/>
          <w:color w:val="112548"/>
          <w:sz w:val="21"/>
        </w:rPr>
        <w:t xml:space="preserve">, </w:t>
      </w:r>
      <w:r>
        <w:rPr>
          <w:rFonts w:ascii="Consolas" w:hAnsi="Consolas" w:eastAsia="Consolas"/>
          <w:b w:val="0"/>
          <w:i w:val="0"/>
          <w:color w:val="112548"/>
          <w:sz w:val="20"/>
        </w:rPr>
        <w:t>revisado_por_id</w:t>
      </w:r>
      <w:r>
        <w:rPr>
          <w:rFonts w:ascii="Calibri" w:hAnsi="Calibri" w:eastAsia="Calibri"/>
          <w:b w:val="0"/>
          <w:i w:val="0"/>
          <w:color w:val="112548"/>
          <w:sz w:val="21"/>
        </w:rPr>
        <w:t xml:space="preserve"> y </w:t>
      </w:r>
      <w:r>
        <w:rPr>
          <w:rFonts w:ascii="Consolas" w:hAnsi="Consolas" w:eastAsia="Consolas"/>
          <w:b w:val="0"/>
          <w:i w:val="0"/>
          <w:color w:val="112548"/>
          <w:sz w:val="20"/>
        </w:rPr>
        <w:t>revisado_en</w:t>
      </w:r>
      <w:r>
        <w:rPr>
          <w:rFonts w:ascii="Calibri" w:hAnsi="Calibri" w:eastAsia="Calibri"/>
          <w:b w:val="0"/>
          <w:i w:val="0"/>
          <w:color w:val="112548"/>
          <w:sz w:val="21"/>
        </w:rPr>
        <w:t xml:space="preserve"> de </w:t>
      </w:r>
      <w:r>
        <w:rPr>
          <w:rFonts w:ascii="Consolas" w:hAnsi="Consolas" w:eastAsia="Consolas"/>
          <w:b w:val="0"/>
          <w:i w:val="0"/>
          <w:color w:val="112548"/>
          <w:sz w:val="20"/>
        </w:rPr>
        <w:t>reporte_softland_facturas</w:t>
      </w:r>
      <w:r>
        <w:rPr>
          <w:rFonts w:ascii="Calibri" w:hAnsi="Calibri" w:eastAsia="Calibri"/>
          <w:b w:val="0"/>
          <w:i w:val="0"/>
          <w:color w:val="112548"/>
          <w:sz w:val="21"/>
        </w:rPr>
        <w:t>, con los vínculos ya confirmados a mano y el historial de lo descartado; ya nada las escribe ni las lee. No hay migración ni pérdida de datos. Siguen vigentes las pestañas Mensual, Comparación anual, Por vendedor, Por área, Embudo, NV sin facturar y los listados de Cotizaciones, Notas de Venta y Facturas.</w:t>
      </w:r>
    </w:p>
    <w:p>
      <w:pPr>
        <w:spacing w:after="80" w:before="0" w:line="264" w:lineRule="auto"/>
        <w:pBdr>
          <w:left w:val="single" w:sz="18" w:space="8" w:color="34B3DE"/>
        </w:pBdr>
        <w:ind w:left="227"/>
      </w:pPr>
      <w:r>
        <w:rPr>
          <w:rFonts w:ascii="Calibri" w:hAnsi="Calibri" w:eastAsia="Calibri"/>
          <w:b/>
          <w:i w:val="0"/>
          <w:color w:val="112548"/>
          <w:sz w:val="21"/>
        </w:rPr>
        <w:t>Siguiente paso planificado (08-10-2026).</w:t>
      </w:r>
      <w:r>
        <w:rPr>
          <w:rFonts w:ascii="Calibri" w:hAnsi="Calibri" w:eastAsia="Calibri"/>
          <w:b w:val="0"/>
          <w:i w:val="0"/>
          <w:color w:val="112548"/>
          <w:sz w:val="21"/>
        </w:rPr>
        <w:t xml:space="preserve"> Mover a «Facturado» desde Softland con una llave confiable: negocio → nota de venta (número y N° de OC) → factura, en vez de RUT y monto. Falta verificar si la factura en Softland trae la referencia a la nota de venta (el CRM hoy no sincroniza esa columna) y cuántos negocios tienen nota de venta u OC cargados. Ver nota de cambio v1.45.</w:t>
      </w:r>
    </w:p>
    <w:p>
      <w:pPr>
        <w:spacing w:after="40" w:before="0" w:line="264" w:lineRule="auto"/>
      </w:pPr>
    </w:p>
    <w:p>
      <w:pPr>
        <w:keepNext/>
        <w:spacing w:after="80" w:before="240" w:line="264" w:lineRule="auto"/>
        <w:pBdr>
          <w:bottom w:val="single" w:sz="8" w:space="2" w:color="34B3DE"/>
        </w:pBdr>
      </w:pPr>
      <w:r>
        <w:rPr>
          <w:rFonts w:ascii="Calibri" w:hAnsi="Calibri" w:eastAsia="Calibri"/>
          <w:b/>
          <w:i w:val="0"/>
          <w:color w:val="112548"/>
          <w:sz w:val="26"/>
        </w:rPr>
        <w:t>3. Otras menciones a ajustar</w:t>
      </w:r>
    </w:p>
    <w:tbl>
      <w:tblPr>
        <w:tblW w:type="auto" w:w="0"/>
        <w:jc w:val="center"/>
        <w:tblLayout w:type="fixed"/>
        <w:tblLook w:firstColumn="1" w:firstRow="1" w:lastColumn="0" w:lastRow="0" w:noHBand="0" w:noVBand="1" w:val="04A0"/>
        <w:tblBorders>
          <w:top w:val="single" w:sz="4" w:space="0" w:color="34B3DE"/>
          <w:left w:val="single" w:sz="4" w:space="0" w:color="34B3DE"/>
          <w:bottom w:val="single" w:sz="4" w:space="0" w:color="34B3DE"/>
          <w:right w:val="single" w:sz="4" w:space="0" w:color="34B3DE"/>
          <w:insideH w:val="single" w:sz="4" w:space="0" w:color="34B3DE"/>
          <w:insideV w:val="single" w:sz="4" w:space="0" w:color="34B3DE"/>
        </w:tblBorders>
        <w:tblLayout w:type="fixed"/>
      </w:tblPr>
      <w:tblGrid>
        <w:gridCol w:w="4819"/>
        <w:gridCol w:w="4819"/>
      </w:tblGrid>
      <w:tr>
        <w:tc>
          <w:tcPr>
            <w:tcW w:type="dxa" w:w="4819"/>
            <w:shd w:val="clear" w:color="auto" w:fill="112548"/>
          </w:tcPr>
          <w:p>
            <w:pPr>
              <w:spacing w:after="40"/>
            </w:pPr>
            <w:r>
              <w:rPr>
                <w:rFonts w:ascii="Calibri" w:hAnsi="Calibri" w:eastAsia="Calibri"/>
                <w:b/>
                <w:i w:val="0"/>
                <w:color w:val="FFFFFF"/>
                <w:sz w:val="19"/>
              </w:rPr>
              <w:t>Buscar este texto</w:t>
            </w:r>
          </w:p>
        </w:tc>
        <w:tc>
          <w:tcPr>
            <w:tcW w:type="dxa" w:w="4819"/>
            <w:shd w:val="clear" w:color="auto" w:fill="112548"/>
          </w:tcPr>
          <w:p>
            <w:pPr>
              <w:spacing w:after="40"/>
            </w:pPr>
            <w:r>
              <w:rPr>
                <w:rFonts w:ascii="Calibri" w:hAnsi="Calibri" w:eastAsia="Calibri"/>
                <w:b/>
                <w:i w:val="0"/>
                <w:color w:val="FFFFFF"/>
                <w:sz w:val="19"/>
              </w:rPr>
              <w:t>Reemplazar por</w:t>
            </w:r>
          </w:p>
        </w:tc>
      </w:tr>
      <w:tr>
        <w:trPr>
          <w:cantSplit/>
        </w:trPr>
        <w:tc>
          <w:tcPr>
            <w:tcW w:type="dxa" w:w="4819"/>
          </w:tcPr>
          <w:p>
            <w:pPr>
              <w:spacing w:after="40"/>
            </w:pPr>
            <w:r>
              <w:rPr>
                <w:rFonts w:ascii="Calibri" w:hAnsi="Calibri" w:eastAsia="Calibri"/>
                <w:b w:val="0"/>
                <w:i w:val="0"/>
                <w:color w:val="112548"/>
                <w:sz w:val="19"/>
              </w:rPr>
              <w:t>§ Resumen de versiones: «de v1.33 (08-09-2026): Sugerencias de facturación — cruce automático de facturas de Softland contra negocios del pipeline por RUT de empresa + monto exacto, que solo sugiere (nunca mueve un negocio solo) desde el Pipeline y desde una pestaña propia de Reportería (§9)»</w:t>
            </w:r>
          </w:p>
        </w:tc>
        <w:tc>
          <w:tcPr>
            <w:tcW w:type="dxa" w:w="4819"/>
          </w:tcPr>
          <w:p>
            <w:pPr>
              <w:spacing w:after="40"/>
            </w:pPr>
            <w:r>
              <w:rPr>
                <w:rFonts w:ascii="Calibri" w:hAnsi="Calibri" w:eastAsia="Calibri"/>
                <w:b w:val="0"/>
                <w:i w:val="0"/>
                <w:color w:val="112548"/>
                <w:sz w:val="19"/>
              </w:rPr>
              <w:t>de v1.33 (08-09-2026): Sugerencias de facturación (cruce de facturas de Softland por RUT de empresa y monto exacto); retirada en la v1.45 (08-10-2026) porque no identificaba el negocio (§9)</w:t>
            </w:r>
          </w:p>
        </w:tc>
      </w:tr>
      <w:tr>
        <w:trPr>
          <w:cantSplit/>
        </w:trPr>
        <w:tc>
          <w:tcPr>
            <w:tcW w:type="dxa" w:w="4819"/>
          </w:tcPr>
          <w:p>
            <w:pPr>
              <w:spacing w:after="40"/>
            </w:pPr>
            <w:r>
              <w:rPr>
                <w:rFonts w:ascii="Calibri" w:hAnsi="Calibri" w:eastAsia="Calibri"/>
                <w:b w:val="0"/>
                <w:i w:val="0"/>
                <w:color w:val="112548"/>
                <w:sz w:val="19"/>
              </w:rPr>
              <w:t>§3, ítem «Programación y ejecución de la OT»: «secuencias automáticas, sugerencias de facturación y los dos importadores CSV»</w:t>
            </w:r>
          </w:p>
        </w:tc>
        <w:tc>
          <w:tcPr>
            <w:tcW w:type="dxa" w:w="4819"/>
          </w:tcPr>
          <w:p>
            <w:pPr>
              <w:spacing w:after="40"/>
            </w:pPr>
            <w:r>
              <w:rPr>
                <w:rFonts w:ascii="Calibri" w:hAnsi="Calibri" w:eastAsia="Calibri"/>
                <w:b w:val="0"/>
                <w:i w:val="0"/>
                <w:color w:val="112548"/>
                <w:sz w:val="19"/>
              </w:rPr>
              <w:t>secuencias automáticas y los dos importadores CSV</w:t>
            </w:r>
          </w:p>
        </w:tc>
      </w:tr>
      <w:tr>
        <w:trPr>
          <w:cantSplit/>
        </w:trPr>
        <w:tc>
          <w:tcPr>
            <w:tcW w:type="dxa" w:w="4819"/>
          </w:tcPr>
          <w:p>
            <w:pPr>
              <w:spacing w:after="40"/>
            </w:pPr>
            <w:r>
              <w:rPr>
                <w:rFonts w:ascii="Calibri" w:hAnsi="Calibri" w:eastAsia="Calibri"/>
                <w:b w:val="0"/>
                <w:i w:val="0"/>
                <w:color w:val="112548"/>
                <w:sz w:val="19"/>
              </w:rPr>
              <w:t>§13: «(v1.33 — Sugerencias de facturación, ver §9; negocio_id solo se llena al confirmar una sugerencia, nunca automático)»</w:t>
            </w:r>
          </w:p>
        </w:tc>
        <w:tc>
          <w:tcPr>
            <w:tcW w:type="dxa" w:w="4819"/>
          </w:tcPr>
          <w:p>
            <w:pPr>
              <w:spacing w:after="40"/>
            </w:pPr>
            <w:r>
              <w:rPr>
                <w:rFonts w:ascii="Calibri" w:hAnsi="Calibri" w:eastAsia="Calibri"/>
                <w:b w:val="0"/>
                <w:i w:val="0"/>
                <w:color w:val="112548"/>
                <w:sz w:val="19"/>
              </w:rPr>
              <w:t>(v1.33; la función se retiró en la v1.45, ver §9: las columnas se conservan con los vínculos ya confirmados y el historial de descartes, y ya nada las escribe ni las lee)</w:t>
            </w:r>
          </w:p>
        </w:tc>
      </w:tr>
    </w:tbl>
    <w:p>
      <w:pPr>
        <w:spacing w:after="40" w:before="0" w:line="264" w:lineRule="auto"/>
      </w:pPr>
    </w:p>
    <w:p>
      <w:pPr>
        <w:keepNext/>
        <w:spacing w:after="80" w:before="240" w:line="264" w:lineRule="auto"/>
        <w:pBdr>
          <w:bottom w:val="single" w:sz="8" w:space="2" w:color="34B3DE"/>
        </w:pBdr>
      </w:pPr>
      <w:r>
        <w:rPr>
          <w:rFonts w:ascii="Calibri" w:hAnsi="Calibri" w:eastAsia="Calibri"/>
          <w:b/>
          <w:i w:val="0"/>
          <w:color w:val="112548"/>
          <w:sz w:val="26"/>
        </w:rPr>
        <w:t>4. Información de respaldo (no se inserta)</w:t>
      </w:r>
    </w:p>
    <w:p>
      <w:pPr>
        <w:spacing w:after="40" w:before="0" w:line="264" w:lineRule="auto"/>
        <w:ind w:left="454" w:hanging="227"/>
      </w:pPr>
      <w:r>
        <w:rPr>
          <w:rFonts w:ascii="Calibri" w:hAnsi="Calibri" w:eastAsia="Calibri"/>
          <w:b/>
          <w:i w:val="0"/>
          <w:color w:val="34B3DE"/>
          <w:sz w:val="21"/>
        </w:rPr>
        <w:t xml:space="preserve">•  </w:t>
      </w:r>
      <w:r>
        <w:rPr>
          <w:rFonts w:ascii="Calibri" w:hAnsi="Calibri" w:eastAsia="Calibri"/>
          <w:b w:val="0"/>
          <w:i w:val="0"/>
          <w:color w:val="112548"/>
          <w:sz w:val="21"/>
        </w:rPr>
        <w:t xml:space="preserve">Prueba con servidor real y Postgres: con una factura y un negocio que antes calzaban por RUT y monto, </w:t>
      </w:r>
      <w:r>
        <w:rPr>
          <w:rFonts w:ascii="Consolas" w:hAnsi="Consolas" w:eastAsia="Consolas"/>
          <w:b w:val="0"/>
          <w:i w:val="0"/>
          <w:color w:val="112548"/>
          <w:sz w:val="20"/>
        </w:rPr>
        <w:t>GET /negocios</w:t>
      </w:r>
      <w:r>
        <w:rPr>
          <w:rFonts w:ascii="Calibri" w:hAnsi="Calibri" w:eastAsia="Calibri"/>
          <w:b w:val="0"/>
          <w:i w:val="0"/>
          <w:color w:val="112548"/>
          <w:sz w:val="21"/>
        </w:rPr>
        <w:t xml:space="preserve"> ya no trae </w:t>
      </w:r>
      <w:r>
        <w:rPr>
          <w:rFonts w:ascii="Consolas" w:hAnsi="Consolas" w:eastAsia="Consolas"/>
          <w:b w:val="0"/>
          <w:i w:val="0"/>
          <w:color w:val="112548"/>
          <w:sz w:val="20"/>
        </w:rPr>
        <w:t>sugerencias_factura</w:t>
      </w:r>
      <w:r>
        <w:rPr>
          <w:rFonts w:ascii="Calibri" w:hAnsi="Calibri" w:eastAsia="Calibri"/>
          <w:b w:val="0"/>
          <w:i w:val="0"/>
          <w:color w:val="112548"/>
          <w:sz w:val="21"/>
        </w:rPr>
        <w:t xml:space="preserve"> (0 de 23 negocios), los endpoints responden 404, la factura de prueba queda intacta, las alertas de OT siguen apareciendo (9) y el frontend compila.</w:t>
      </w:r>
    </w:p>
    <w:p>
      <w:pPr>
        <w:spacing w:after="40" w:before="0" w:line="264" w:lineRule="auto"/>
        <w:ind w:left="454" w:hanging="227"/>
      </w:pPr>
      <w:r>
        <w:rPr>
          <w:rFonts w:ascii="Calibri" w:hAnsi="Calibri" w:eastAsia="Calibri"/>
          <w:b/>
          <w:i w:val="0"/>
          <w:color w:val="34B3DE"/>
          <w:sz w:val="21"/>
        </w:rPr>
        <w:t xml:space="preserve">•  </w:t>
      </w:r>
      <w:r>
        <w:rPr>
          <w:rFonts w:ascii="Calibri" w:hAnsi="Calibri" w:eastAsia="Calibri"/>
          <w:b w:val="0"/>
          <w:i w:val="0"/>
          <w:color w:val="112548"/>
          <w:sz w:val="21"/>
        </w:rPr>
        <w:t>No se probó contra datos de producción.</w:t>
      </w:r>
    </w:p>
    <w:p>
      <w:pPr>
        <w:spacing w:after="40" w:before="0" w:line="264" w:lineRule="auto"/>
        <w:ind w:left="454" w:hanging="227"/>
      </w:pPr>
      <w:r>
        <w:rPr>
          <w:rFonts w:ascii="Calibri" w:hAnsi="Calibri" w:eastAsia="Calibri"/>
          <w:b/>
          <w:i w:val="0"/>
          <w:color w:val="34B3DE"/>
          <w:sz w:val="21"/>
        </w:rPr>
        <w:t xml:space="preserve">•  </w:t>
      </w:r>
      <w:r>
        <w:rPr>
          <w:rFonts w:ascii="Consolas" w:hAnsi="Consolas" w:eastAsia="Consolas"/>
          <w:b w:val="0"/>
          <w:i w:val="0"/>
          <w:color w:val="112548"/>
          <w:sz w:val="20"/>
        </w:rPr>
        <w:t>cambiarEtapaNegocio()</w:t>
      </w:r>
      <w:r>
        <w:rPr>
          <w:rFonts w:ascii="Calibri" w:hAnsi="Calibri" w:eastAsia="Calibri"/>
          <w:b w:val="0"/>
          <w:i w:val="0"/>
          <w:color w:val="112548"/>
          <w:sz w:val="21"/>
        </w:rPr>
        <w:t xml:space="preserve"> se conserva: lo siguen usando los movimientos automáticos (WhatsApp, Mantenimiento). Solo cambió su comentario.</w:t>
      </w:r>
    </w:p>
    <w:p>
      <w:pPr>
        <w:spacing w:after="40" w:before="0" w:line="264" w:lineRule="auto"/>
        <w:ind w:left="454" w:hanging="227"/>
      </w:pPr>
      <w:r>
        <w:rPr>
          <w:rFonts w:ascii="Calibri" w:hAnsi="Calibri" w:eastAsia="Calibri"/>
          <w:b/>
          <w:i w:val="0"/>
          <w:color w:val="34B3DE"/>
          <w:sz w:val="21"/>
        </w:rPr>
        <w:t xml:space="preserve">•  </w:t>
      </w:r>
      <w:r>
        <w:rPr>
          <w:rFonts w:ascii="Calibri" w:hAnsi="Calibri" w:eastAsia="Calibri"/>
          <w:b w:val="0"/>
          <w:i w:val="0"/>
          <w:color w:val="112548"/>
          <w:sz w:val="21"/>
        </w:rPr>
        <w:t xml:space="preserve">Detalle: </w:t>
      </w:r>
      <w:r>
        <w:rPr>
          <w:rFonts w:ascii="Consolas" w:hAnsi="Consolas" w:eastAsia="Consolas"/>
          <w:b w:val="0"/>
          <w:i w:val="0"/>
          <w:color w:val="112548"/>
          <w:sz w:val="20"/>
        </w:rPr>
        <w:t>docs/HT-AP-03-nota-cambio-v1.45.md</w:t>
      </w:r>
      <w:r>
        <w:rPr>
          <w:rFonts w:ascii="Calibri" w:hAnsi="Calibri" w:eastAsia="Calibri"/>
          <w:b w:val="0"/>
          <w:i w:val="0"/>
          <w:color w:val="112548"/>
          <w:sz w:val="21"/>
        </w:rPr>
        <w:t>.</w:t>
      </w:r>
    </w:p>
    <w:sectPr w:rsidR="00FC693F" w:rsidRPr="0006063C" w:rsidSect="00034616">
      <w:headerReference w:type="default" r:id="rId9"/>
      <w:footerReference w:type="default" r:id="rId10"/>
      <w:pgSz w:w="12240" w:h="15840"/>
      <w:pgMar w:top="1361" w:right="1247" w:bottom="124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8"/>
      </w:rPr>
      <w:t xml:space="preserve">Uso interno  ·  Página </w:t>
    </w:r>
    <w:r>
      <w:rPr>
        <w:rFonts w:ascii="Calibri" w:hAnsi="Calibri" w:eastAsia="Calibri"/>
        <w:b w:val="0"/>
        <w:i w:val="0"/>
        <w:color w:val="555555"/>
        <w:sz w:val="18"/>
      </w:rPr>
      <w:fldChar w:fldCharType="begin"/>
    </w:r>
    <w:r>
      <w:rPr>
        <w:rFonts w:ascii="Calibri" w:hAnsi="Calibri" w:eastAsia="Calibri"/>
        <w:b w:val="0"/>
        <w:i w:val="0"/>
        <w:color w:val="555555"/>
        <w:sz w:val="18"/>
      </w:rPr>
      <w:instrText xml:space="preserve">PAGE</w:instrText>
    </w:r>
    <w:r>
      <w:rPr>
        <w:rFonts w:ascii="Calibri" w:hAnsi="Calibri" w:eastAsia="Calibri"/>
        <w:b w:val="0"/>
        <w:i w:val="0"/>
        <w:color w:val="555555"/>
        <w:sz w:val="18"/>
      </w:rPr>
      <w:fldChar w:fldCharType="separate"/>
    </w:r>
    <w:r>
      <w:rPr>
        <w:rFonts w:ascii="Calibri" w:hAnsi="Calibri" w:eastAsia="Calibri"/>
        <w:b w:val="0"/>
        <w:i w:val="0"/>
        <w:color w:val="555555"/>
        <w:sz w:val="18"/>
      </w:rPr>
      <w:t>1</w:t>
    </w:r>
    <w:r>
      <w:rPr>
        <w:rFonts w:ascii="Calibri" w:hAnsi="Calibri" w:eastAsia="Calibri"/>
        <w:b w:val="0"/>
        <w:i w:val="0"/>
        <w:color w:val="555555"/>
        <w:sz w:val="18"/>
      </w:rPr>
      <w:fldChar w:fldCharType="end"/>
    </w:r>
    <w:r>
      <w:rPr>
        <w:rFonts w:ascii="Calibri" w:hAnsi="Calibri" w:eastAsia="Calibri"/>
        <w:b w:val="0"/>
        <w:i w:val="0"/>
        <w:color w:val="555555"/>
        <w:sz w:val="18"/>
      </w:rPr>
      <w:t xml:space="preserve"> de </w:t>
    </w:r>
    <w:r>
      <w:rPr>
        <w:rFonts w:ascii="Calibri" w:hAnsi="Calibri" w:eastAsia="Calibri"/>
        <w:b w:val="0"/>
        <w:i w:val="0"/>
        <w:color w:val="555555"/>
        <w:sz w:val="18"/>
      </w:rPr>
      <w:fldChar w:fldCharType="begin"/>
    </w:r>
    <w:r>
      <w:rPr>
        <w:rFonts w:ascii="Calibri" w:hAnsi="Calibri" w:eastAsia="Calibri"/>
        <w:b w:val="0"/>
        <w:i w:val="0"/>
        <w:color w:val="555555"/>
        <w:sz w:val="18"/>
      </w:rPr>
      <w:instrText xml:space="preserve">NUMPAGES</w:instrText>
    </w:r>
    <w:r>
      <w:rPr>
        <w:rFonts w:ascii="Calibri" w:hAnsi="Calibri" w:eastAsia="Calibri"/>
        <w:b w:val="0"/>
        <w:i w:val="0"/>
        <w:color w:val="555555"/>
        <w:sz w:val="18"/>
      </w:rPr>
      <w:fldChar w:fldCharType="separate"/>
    </w:r>
    <w:r>
      <w:rPr>
        <w:rFonts w:ascii="Calibri" w:hAnsi="Calibri" w:eastAsia="Calibri"/>
        <w:b w:val="0"/>
        <w:i w:val="0"/>
        <w:color w:val="555555"/>
        <w:sz w:val="18"/>
      </w:rPr>
      <w:t>1</w:t>
    </w:r>
    <w:r>
      <w:rPr>
        <w:rFonts w:ascii="Calibri" w:hAnsi="Calibri" w:eastAsia="Calibri"/>
        <w:b w:val="0"/>
        <w:i w:val="0"/>
        <w:color w:val="555555"/>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112548"/>
        <w:sz w:val="18"/>
      </w:rPr>
      <w:t>HT-AP-03 · Hoja de actualización v1.45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HT-AP-03 · Hoja de actualización v1.45</dc:title>
  <dc:subject>CRM Comercial Hidrotécnica — se retira «Factura sugerida»</dc:subject>
  <dc:creator>Luis Devoto / Claude (IA)</dc:creator>
  <cp:keywords/>
  <dc:description>generated by python-docx</dc:description>
  <cp:lastModifiedBy/>
  <cp:revision>1</cp:revision>
  <dcterms:created xsi:type="dcterms:W3CDTF">2013-12-23T23:15:00Z</dcterms:created>
  <dcterms:modified xsi:type="dcterms:W3CDTF">2013-12-23T23:15:00Z</dcterms:modified>
  <cp:category/>
</cp:coreProperties>
</file>