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00" w:line="264" w:lineRule="auto"/>
      </w:pPr>
      <w:r>
        <w:rPr>
          <w:rFonts w:ascii="Calibri" w:hAnsi="Calibri" w:eastAsia="Calibri"/>
          <w:b/>
          <w:i w:val="0"/>
          <w:color w:val="34B3DE"/>
          <w:sz w:val="24"/>
        </w:rPr>
        <w:t>HIDROTÉCNICA SpA</w:t>
      </w:r>
    </w:p>
    <w:p>
      <w:pPr>
        <w:spacing w:after="40" w:before="0" w:line="264" w:lineRule="auto"/>
      </w:pPr>
      <w:r>
        <w:rPr>
          <w:rFonts w:ascii="Calibri" w:hAnsi="Calibri" w:eastAsia="Calibri"/>
          <w:b/>
          <w:i w:val="0"/>
          <w:color w:val="112548"/>
          <w:sz w:val="44"/>
        </w:rPr>
        <w:t>HT-IN-05 · Hoja de actualización v09</w:t>
      </w:r>
    </w:p>
    <w:p>
      <w:pPr>
        <w:spacing w:after="200" w:before="0" w:line="264" w:lineRule="auto"/>
      </w:pPr>
      <w:r>
        <w:rPr>
          <w:rFonts w:ascii="Calibri" w:hAnsi="Calibri" w:eastAsia="Calibri"/>
          <w:b w:val="0"/>
          <w:i w:val="0"/>
          <w:color w:val="112548"/>
          <w:sz w:val="26"/>
        </w:rPr>
        <w:t>Manual de usuario CRM Comercial Hidrotécnica — respuesta del cliente por WhatsApp</w:t>
      </w:r>
    </w:p>
    <w:tbl>
      <w:tblPr>
        <w:tblW w:type="auto" w:w="0"/>
        <w:jc w:val="center"/>
        <w:tblLayout w:type="fixed"/>
        <w:tblLook w:firstColumn="1" w:firstRow="1" w:lastColumn="0" w:lastRow="0" w:noHBand="0" w:noVBand="1" w:val="04A0"/>
        <w:tblBorders>
          <w:top w:val="single" w:sz="4" w:space="0" w:color="34B3DE"/>
          <w:left w:val="single" w:sz="4" w:space="0" w:color="34B3DE"/>
          <w:bottom w:val="single" w:sz="4" w:space="0" w:color="34B3DE"/>
          <w:right w:val="single" w:sz="4" w:space="0" w:color="34B3DE"/>
          <w:insideH w:val="single" w:sz="4" w:space="0" w:color="34B3DE"/>
          <w:insideV w:val="single" w:sz="4" w:space="0" w:color="34B3DE"/>
        </w:tblBorders>
        <w:tblLayout w:type="fixed"/>
      </w:tblPr>
      <w:tblGrid>
        <w:gridCol w:w="2608"/>
        <w:gridCol w:w="7030"/>
      </w:tblGrid>
      <w:tr>
        <w:tc>
          <w:tcPr>
            <w:tcW w:type="dxa" w:w="2608"/>
            <w:shd w:val="clear" w:color="auto" w:fill="112548"/>
          </w:tcPr>
          <w:p>
            <w:pPr>
              <w:spacing w:after="40"/>
            </w:pPr>
            <w:r>
              <w:rPr>
                <w:rFonts w:ascii="Calibri" w:hAnsi="Calibri" w:eastAsia="Calibri"/>
                <w:b/>
                <w:i w:val="0"/>
                <w:color w:val="FFFFFF"/>
                <w:sz w:val="20"/>
              </w:rPr>
              <w:t>Dato</w:t>
            </w:r>
          </w:p>
        </w:tc>
        <w:tc>
          <w:tcPr>
            <w:tcW w:type="dxa" w:w="7030"/>
            <w:shd w:val="clear" w:color="auto" w:fill="112548"/>
          </w:tcPr>
          <w:p>
            <w:pPr>
              <w:spacing w:after="40"/>
            </w:pPr>
            <w:r>
              <w:rPr>
                <w:rFonts w:ascii="Calibri" w:hAnsi="Calibri" w:eastAsia="Calibri"/>
                <w:b/>
                <w:i w:val="0"/>
                <w:color w:val="FFFFFF"/>
                <w:sz w:val="20"/>
              </w:rPr>
              <w:t>Detalle</w:t>
            </w:r>
          </w:p>
        </w:tc>
      </w:tr>
      <w:tr>
        <w:trPr>
          <w:cantSplit/>
        </w:trPr>
        <w:tc>
          <w:tcPr>
            <w:tcW w:type="dxa" w:w="2608"/>
          </w:tcPr>
          <w:p>
            <w:pPr>
              <w:spacing w:after="40"/>
            </w:pPr>
            <w:r>
              <w:rPr>
                <w:rFonts w:ascii="Calibri" w:hAnsi="Calibri" w:eastAsia="Calibri"/>
                <w:b w:val="0"/>
                <w:i w:val="0"/>
                <w:color w:val="112548"/>
                <w:sz w:val="20"/>
              </w:rPr>
              <w:t>Documento a actualizar</w:t>
            </w:r>
          </w:p>
        </w:tc>
        <w:tc>
          <w:tcPr>
            <w:tcW w:type="dxa" w:w="7030"/>
          </w:tcPr>
          <w:p>
            <w:pPr>
              <w:spacing w:after="40"/>
            </w:pPr>
            <w:r>
              <w:rPr>
                <w:rFonts w:ascii="Calibri" w:hAnsi="Calibri" w:eastAsia="Calibri"/>
                <w:b w:val="0"/>
                <w:i w:val="0"/>
                <w:color w:val="112548"/>
                <w:sz w:val="20"/>
              </w:rPr>
              <w:t>HT-IN-05 Manual de usuario CRM Comercial Hidrotécnica, v08 (01-10-2026)</w:t>
            </w:r>
          </w:p>
        </w:tc>
      </w:tr>
      <w:tr>
        <w:trPr>
          <w:cantSplit/>
        </w:trPr>
        <w:tc>
          <w:tcPr>
            <w:tcW w:type="dxa" w:w="2608"/>
          </w:tcPr>
          <w:p>
            <w:pPr>
              <w:spacing w:after="40"/>
            </w:pPr>
            <w:r>
              <w:rPr>
                <w:rFonts w:ascii="Calibri" w:hAnsi="Calibri" w:eastAsia="Calibri"/>
                <w:b w:val="0"/>
                <w:i w:val="0"/>
                <w:color w:val="112548"/>
                <w:sz w:val="20"/>
              </w:rPr>
              <w:t>Versión nueva</w:t>
            </w:r>
          </w:p>
        </w:tc>
        <w:tc>
          <w:tcPr>
            <w:tcW w:type="dxa" w:w="7030"/>
          </w:tcPr>
          <w:p>
            <w:pPr>
              <w:spacing w:after="40"/>
            </w:pPr>
            <w:r>
              <w:rPr>
                <w:rFonts w:ascii="Calibri" w:hAnsi="Calibri" w:eastAsia="Calibri"/>
                <w:b w:val="0"/>
                <w:i w:val="0"/>
                <w:color w:val="112548"/>
                <w:sz w:val="20"/>
              </w:rPr>
              <w:t>09</w:t>
            </w:r>
          </w:p>
        </w:tc>
      </w:tr>
      <w:tr>
        <w:trPr>
          <w:cantSplit/>
        </w:trPr>
        <w:tc>
          <w:tcPr>
            <w:tcW w:type="dxa" w:w="2608"/>
          </w:tcPr>
          <w:p>
            <w:pPr>
              <w:spacing w:after="40"/>
            </w:pPr>
            <w:r>
              <w:rPr>
                <w:rFonts w:ascii="Calibri" w:hAnsi="Calibri" w:eastAsia="Calibri"/>
                <w:b w:val="0"/>
                <w:i w:val="0"/>
                <w:color w:val="112548"/>
                <w:sz w:val="20"/>
              </w:rPr>
              <w:t>Cambio que se incorpora</w:t>
            </w:r>
          </w:p>
        </w:tc>
        <w:tc>
          <w:tcPr>
            <w:tcW w:type="dxa" w:w="7030"/>
          </w:tcPr>
          <w:p>
            <w:pPr>
              <w:spacing w:after="40"/>
            </w:pPr>
            <w:r>
              <w:rPr>
                <w:rFonts w:ascii="Calibri" w:hAnsi="Calibri" w:eastAsia="Calibri"/>
                <w:b w:val="0"/>
                <w:i w:val="0"/>
                <w:color w:val="112548"/>
                <w:sz w:val="20"/>
              </w:rPr>
              <w:t>Respuesta del cliente por WhatsApp a un negocio en seguimiento (HT-AP-03, nota de cambio v1.42)</w:t>
            </w:r>
          </w:p>
        </w:tc>
      </w:tr>
      <w:tr>
        <w:trPr>
          <w:cantSplit/>
        </w:trPr>
        <w:tc>
          <w:tcPr>
            <w:tcW w:type="dxa" w:w="2608"/>
          </w:tcPr>
          <w:p>
            <w:pPr>
              <w:spacing w:after="40"/>
            </w:pPr>
            <w:r>
              <w:rPr>
                <w:rFonts w:ascii="Calibri" w:hAnsi="Calibri" w:eastAsia="Calibri"/>
                <w:b w:val="0"/>
                <w:i w:val="0"/>
                <w:color w:val="112548"/>
                <w:sz w:val="20"/>
              </w:rPr>
              <w:t>Estado del cambio</w:t>
            </w:r>
          </w:p>
        </w:tc>
        <w:tc>
          <w:tcPr>
            <w:tcW w:type="dxa" w:w="7030"/>
          </w:tcPr>
          <w:p>
            <w:pPr>
              <w:spacing w:after="40"/>
            </w:pPr>
            <w:r>
              <w:rPr>
                <w:rFonts w:ascii="Calibri" w:hAnsi="Calibri" w:eastAsia="Calibri"/>
                <w:b w:val="0"/>
                <w:i w:val="0"/>
                <w:color w:val="112548"/>
                <w:sz w:val="20"/>
              </w:rPr>
              <w:t>En producción desde el 08-10-2026 (rama main, commit 11dcc9a). Publicar la v09: el manual describe lo que ve el usuario.</w:t>
            </w:r>
          </w:p>
        </w:tc>
      </w:tr>
      <w:tr>
        <w:trPr>
          <w:cantSplit/>
        </w:trPr>
        <w:tc>
          <w:tcPr>
            <w:tcW w:type="dxa" w:w="2608"/>
          </w:tcPr>
          <w:p>
            <w:pPr>
              <w:spacing w:after="40"/>
            </w:pPr>
            <w:r>
              <w:rPr>
                <w:rFonts w:ascii="Calibri" w:hAnsi="Calibri" w:eastAsia="Calibri"/>
                <w:b w:val="0"/>
                <w:i w:val="0"/>
                <w:color w:val="112548"/>
                <w:sz w:val="20"/>
              </w:rPr>
              <w:t>Clasificación</w:t>
            </w:r>
          </w:p>
        </w:tc>
        <w:tc>
          <w:tcPr>
            <w:tcW w:type="dxa" w:w="7030"/>
          </w:tcPr>
          <w:p>
            <w:pPr>
              <w:spacing w:after="40"/>
            </w:pPr>
            <w:r>
              <w:rPr>
                <w:rFonts w:ascii="Calibri" w:hAnsi="Calibri" w:eastAsia="Calibri"/>
                <w:b w:val="0"/>
                <w:i w:val="0"/>
                <w:color w:val="112548"/>
                <w:sz w:val="20"/>
              </w:rPr>
              <w:t>Uso interno</w:t>
            </w:r>
          </w:p>
        </w:tc>
      </w:tr>
    </w:tbl>
    <w:p>
      <w:pPr>
        <w:spacing w:after="40" w:before="0" w:line="264" w:lineRule="auto"/>
      </w:pPr>
    </w:p>
    <w:p>
      <w:pPr>
        <w:spacing w:after="160" w:before="0" w:line="264" w:lineRule="auto"/>
      </w:pPr>
      <w:r>
        <w:rPr>
          <w:rFonts w:ascii="Calibri" w:hAnsi="Calibri" w:eastAsia="Calibri"/>
          <w:b w:val="0"/>
          <w:i/>
          <w:color w:val="555555"/>
          <w:sz w:val="20"/>
        </w:rPr>
        <w:t>Contiene solo el texto nuevo y dónde insertarlo en el manual vigente (que ya lleva logo, encabezado y numeración). Ubicar cada texto por el título de la sección: la numeración puede diferir entre versiones del manual y no se verificó contra la v08. Las firmas de Elaborado, Revisado y Aprobado se completan en la portada del manual al emitir la versión. Se propone una versión del manual por cada hoja; si se prefiere, se pueden agrupar en una sola al publicar.</w:t>
      </w:r>
    </w:p>
    <w:p>
      <w:pPr>
        <w:keepNext/>
        <w:spacing w:after="80" w:before="240" w:line="264" w:lineRule="auto"/>
        <w:pBdr>
          <w:bottom w:val="single" w:sz="8" w:space="2" w:color="34B3DE"/>
        </w:pBdr>
      </w:pPr>
      <w:r>
        <w:rPr>
          <w:rFonts w:ascii="Calibri" w:hAnsi="Calibri" w:eastAsia="Calibri"/>
          <w:b/>
          <w:i w:val="0"/>
          <w:color w:val="112548"/>
          <w:sz w:val="26"/>
        </w:rPr>
        <w:t>1. Control de cambios — fila nueva</w:t>
      </w:r>
    </w:p>
    <w:p>
      <w:pPr>
        <w:spacing w:after="80" w:before="0" w:line="264" w:lineRule="auto"/>
      </w:pPr>
      <w:r>
        <w:rPr>
          <w:rFonts w:ascii="Calibri" w:hAnsi="Calibri" w:eastAsia="Calibri"/>
          <w:b w:val="0"/>
          <w:i w:val="0"/>
          <w:color w:val="112548"/>
          <w:sz w:val="21"/>
        </w:rPr>
        <w:t>Agregar al final de la tabla de control de cambios del manual:</w:t>
      </w:r>
    </w:p>
    <w:tbl>
      <w:tblPr>
        <w:tblW w:type="auto" w:w="0"/>
        <w:jc w:val="center"/>
        <w:tblLayout w:type="fixed"/>
        <w:tblLook w:firstColumn="1" w:firstRow="1" w:lastColumn="0" w:lastRow="0" w:noHBand="0" w:noVBand="1" w:val="04A0"/>
        <w:tblBorders>
          <w:top w:val="single" w:sz="4" w:space="0" w:color="34B3DE"/>
          <w:left w:val="single" w:sz="4" w:space="0" w:color="34B3DE"/>
          <w:bottom w:val="single" w:sz="4" w:space="0" w:color="34B3DE"/>
          <w:right w:val="single" w:sz="4" w:space="0" w:color="34B3DE"/>
          <w:insideH w:val="single" w:sz="4" w:space="0" w:color="34B3DE"/>
          <w:insideV w:val="single" w:sz="4" w:space="0" w:color="34B3DE"/>
        </w:tblBorders>
        <w:tblLayout w:type="fixed"/>
      </w:tblPr>
      <w:tblGrid>
        <w:gridCol w:w="1020"/>
        <w:gridCol w:w="1814"/>
        <w:gridCol w:w="1814"/>
        <w:gridCol w:w="4989"/>
      </w:tblGrid>
      <w:tr>
        <w:tc>
          <w:tcPr>
            <w:tcW w:type="dxa" w:w="1020"/>
            <w:shd w:val="clear" w:color="auto" w:fill="112548"/>
          </w:tcPr>
          <w:p>
            <w:pPr>
              <w:spacing w:after="40"/>
            </w:pPr>
            <w:r>
              <w:rPr>
                <w:rFonts w:ascii="Calibri" w:hAnsi="Calibri" w:eastAsia="Calibri"/>
                <w:b/>
                <w:i w:val="0"/>
                <w:color w:val="FFFFFF"/>
                <w:sz w:val="19"/>
              </w:rPr>
              <w:t>N° Ver.</w:t>
            </w:r>
          </w:p>
        </w:tc>
        <w:tc>
          <w:tcPr>
            <w:tcW w:type="dxa" w:w="1814"/>
            <w:shd w:val="clear" w:color="auto" w:fill="112548"/>
          </w:tcPr>
          <w:p>
            <w:pPr>
              <w:spacing w:after="40"/>
            </w:pPr>
            <w:r>
              <w:rPr>
                <w:rFonts w:ascii="Calibri" w:hAnsi="Calibri" w:eastAsia="Calibri"/>
                <w:b/>
                <w:i w:val="0"/>
                <w:color w:val="FFFFFF"/>
                <w:sz w:val="19"/>
              </w:rPr>
              <w:t>Fecha</w:t>
            </w:r>
          </w:p>
        </w:tc>
        <w:tc>
          <w:tcPr>
            <w:tcW w:type="dxa" w:w="1814"/>
            <w:shd w:val="clear" w:color="auto" w:fill="112548"/>
          </w:tcPr>
          <w:p>
            <w:pPr>
              <w:spacing w:after="40"/>
            </w:pPr>
            <w:r>
              <w:rPr>
                <w:rFonts w:ascii="Calibri" w:hAnsi="Calibri" w:eastAsia="Calibri"/>
                <w:b/>
                <w:i w:val="0"/>
                <w:color w:val="FFFFFF"/>
                <w:sz w:val="19"/>
              </w:rPr>
              <w:t>Autor</w:t>
            </w:r>
          </w:p>
        </w:tc>
        <w:tc>
          <w:tcPr>
            <w:tcW w:type="dxa" w:w="4989"/>
            <w:shd w:val="clear" w:color="auto" w:fill="112548"/>
          </w:tcPr>
          <w:p>
            <w:pPr>
              <w:spacing w:after="40"/>
            </w:pPr>
            <w:r>
              <w:rPr>
                <w:rFonts w:ascii="Calibri" w:hAnsi="Calibri" w:eastAsia="Calibri"/>
                <w:b/>
                <w:i w:val="0"/>
                <w:color w:val="FFFFFF"/>
                <w:sz w:val="19"/>
              </w:rPr>
              <w:t>Descripción del cambio</w:t>
            </w:r>
          </w:p>
        </w:tc>
      </w:tr>
      <w:tr>
        <w:trPr>
          <w:cantSplit/>
        </w:trPr>
        <w:tc>
          <w:tcPr>
            <w:tcW w:type="dxa" w:w="1020"/>
          </w:tcPr>
          <w:p>
            <w:pPr>
              <w:spacing w:after="40"/>
            </w:pPr>
            <w:r>
              <w:rPr>
                <w:rFonts w:ascii="Calibri" w:hAnsi="Calibri" w:eastAsia="Calibri"/>
                <w:b w:val="0"/>
                <w:i w:val="0"/>
                <w:color w:val="112548"/>
                <w:sz w:val="19"/>
              </w:rPr>
              <w:t>09</w:t>
            </w:r>
          </w:p>
        </w:tc>
        <w:tc>
          <w:tcPr>
            <w:tcW w:type="dxa" w:w="1814"/>
          </w:tcPr>
          <w:p>
            <w:pPr>
              <w:spacing w:after="40"/>
            </w:pPr>
            <w:r>
              <w:rPr>
                <w:rFonts w:ascii="Calibri" w:hAnsi="Calibri" w:eastAsia="Calibri"/>
                <w:b w:val="0"/>
                <w:i w:val="0"/>
                <w:color w:val="112548"/>
                <w:sz w:val="19"/>
              </w:rPr>
              <w:t>(fecha de publicación)</w:t>
            </w:r>
          </w:p>
        </w:tc>
        <w:tc>
          <w:tcPr>
            <w:tcW w:type="dxa" w:w="1814"/>
          </w:tcPr>
          <w:p>
            <w:pPr>
              <w:spacing w:after="40"/>
            </w:pPr>
            <w:r>
              <w:rPr>
                <w:rFonts w:ascii="Calibri" w:hAnsi="Calibri" w:eastAsia="Calibri"/>
                <w:b w:val="0"/>
                <w:i w:val="0"/>
                <w:color w:val="112548"/>
                <w:sz w:val="19"/>
              </w:rPr>
              <w:t>Luis Devoto / Claude (IA)</w:t>
            </w:r>
          </w:p>
        </w:tc>
        <w:tc>
          <w:tcPr>
            <w:tcW w:type="dxa" w:w="4989"/>
          </w:tcPr>
          <w:p>
            <w:pPr>
              <w:spacing w:after="40"/>
            </w:pPr>
            <w:r>
              <w:rPr>
                <w:rFonts w:ascii="Calibri" w:hAnsi="Calibri" w:eastAsia="Calibri"/>
                <w:b w:val="0"/>
                <w:i w:val="0"/>
                <w:color w:val="112548"/>
                <w:sz w:val="19"/>
              </w:rPr>
              <w:t>Cuando el cliente responde por WhatsApp a un negocio en seguimiento, el sistema pausa la secuencia y mueve el negocio a Negociación, o a Perdido si es un rechazo claro, o avisa al vendedor con una tarea (§5.8 y §5.12). Se actualiza la frase sobre «Cliente respondió» en secuencias (§5.12).</w:t>
            </w:r>
          </w:p>
        </w:tc>
      </w:tr>
    </w:tbl>
    <w:p>
      <w:pPr>
        <w:spacing w:after="40" w:before="0" w:line="264" w:lineRule="auto"/>
      </w:pPr>
    </w:p>
    <w:p>
      <w:pPr>
        <w:keepNext/>
        <w:spacing w:after="80" w:before="240" w:line="264" w:lineRule="auto"/>
        <w:pBdr>
          <w:bottom w:val="single" w:sz="8" w:space="2" w:color="34B3DE"/>
        </w:pBdr>
      </w:pPr>
      <w:r>
        <w:rPr>
          <w:rFonts w:ascii="Calibri" w:hAnsi="Calibri" w:eastAsia="Calibri"/>
          <w:b/>
          <w:i w:val="0"/>
          <w:color w:val="112548"/>
          <w:sz w:val="26"/>
        </w:rPr>
        <w:t>2. §5.8 WhatsApp — subsección nueva</w:t>
      </w:r>
    </w:p>
    <w:p>
      <w:pPr>
        <w:spacing w:after="80" w:before="0" w:line="264" w:lineRule="auto"/>
      </w:pPr>
      <w:r>
        <w:rPr>
          <w:rFonts w:ascii="Calibri" w:hAnsi="Calibri" w:eastAsia="Calibri"/>
          <w:b w:val="0"/>
          <w:i w:val="0"/>
          <w:color w:val="112548"/>
          <w:sz w:val="21"/>
        </w:rPr>
        <w:t>Insertar después de «Respuestas de botones del seguimiento de cotización y encuesta de causa de no cierre (14-09-2026)»:</w:t>
      </w:r>
    </w:p>
    <w:p>
      <w:pPr>
        <w:keepNext/>
        <w:spacing w:after="60" w:before="40" w:line="264" w:lineRule="auto"/>
        <w:pBdr>
          <w:left w:val="single" w:sz="18" w:space="8" w:color="34B3DE"/>
        </w:pBdr>
        <w:ind w:left="227"/>
      </w:pPr>
      <w:r>
        <w:rPr>
          <w:rFonts w:ascii="Calibri" w:hAnsi="Calibri" w:eastAsia="Calibri"/>
          <w:b/>
          <w:i w:val="0"/>
          <w:color w:val="112548"/>
          <w:sz w:val="22"/>
        </w:rPr>
        <w:t>Cuando el cliente responde a un negocio en seguimiento (v1.42)</w:t>
      </w:r>
    </w:p>
    <w:p>
      <w:pPr>
        <w:spacing w:after="80" w:before="0" w:line="264" w:lineRule="auto"/>
        <w:pBdr>
          <w:left w:val="single" w:sz="18" w:space="8" w:color="34B3DE"/>
        </w:pBdr>
        <w:ind w:left="227"/>
      </w:pPr>
      <w:r>
        <w:rPr>
          <w:rFonts w:ascii="Calibri" w:hAnsi="Calibri" w:eastAsia="Calibri"/>
          <w:b w:val="0"/>
          <w:i w:val="0"/>
          <w:color w:val="112548"/>
          <w:sz w:val="21"/>
        </w:rPr>
        <w:t>Antes, solo el botón de la plantilla «Seguimiento de cotización» movía el negocio. Ahora cualquier mensaje del cliente por WhatsApp (escrito a mano o botón de otra plantilla) se revisa cuando tiene negocios abiertos en la etapa Cotizado o con una secuencia de seguimiento activa. No se revisan las reacciones con emoji ni las solicitudes de eliminación de datos.</w:t>
      </w:r>
    </w:p>
    <w:p>
      <w:pPr>
        <w:spacing w:after="40" w:before="0" w:line="264" w:lineRule="auto"/>
        <w:pBdr>
          <w:left w:val="single" w:sz="18" w:space="8" w:color="34B3DE"/>
        </w:pBdr>
        <w:ind w:left="510" w:hanging="227"/>
      </w:pPr>
      <w:r>
        <w:rPr>
          <w:rFonts w:ascii="Calibri" w:hAnsi="Calibri" w:eastAsia="Calibri"/>
          <w:b/>
          <w:i w:val="0"/>
          <w:color w:val="34B3DE"/>
          <w:sz w:val="21"/>
        </w:rPr>
        <w:t xml:space="preserve">•  </w:t>
      </w:r>
      <w:r>
        <w:rPr>
          <w:rFonts w:ascii="Calibri" w:hAnsi="Calibri" w:eastAsia="Calibri"/>
          <w:b/>
          <w:i w:val="0"/>
          <w:color w:val="112548"/>
          <w:sz w:val="21"/>
        </w:rPr>
        <w:t>Siempre:</w:t>
      </w:r>
      <w:r>
        <w:rPr>
          <w:rFonts w:ascii="Calibri" w:hAnsi="Calibri" w:eastAsia="Calibri"/>
          <w:b w:val="0"/>
          <w:i w:val="0"/>
          <w:color w:val="112548"/>
          <w:sz w:val="21"/>
        </w:rPr>
        <w:t xml:space="preserve"> la secuencia de seguimiento se pausa, para que no sigan llegando recordatorios después de que el cliente respondió.</w:t>
      </w:r>
    </w:p>
    <w:p>
      <w:pPr>
        <w:spacing w:after="40" w:before="0" w:line="264" w:lineRule="auto"/>
        <w:pBdr>
          <w:left w:val="single" w:sz="18" w:space="8" w:color="34B3DE"/>
        </w:pBdr>
        <w:ind w:left="510" w:hanging="227"/>
      </w:pPr>
      <w:r>
        <w:rPr>
          <w:rFonts w:ascii="Calibri" w:hAnsi="Calibri" w:eastAsia="Calibri"/>
          <w:b/>
          <w:i w:val="0"/>
          <w:color w:val="34B3DE"/>
          <w:sz w:val="21"/>
        </w:rPr>
        <w:t xml:space="preserve">•  </w:t>
      </w:r>
      <w:r>
        <w:rPr>
          <w:rFonts w:ascii="Calibri" w:hAnsi="Calibri" w:eastAsia="Calibri"/>
          <w:b/>
          <w:i w:val="0"/>
          <w:color w:val="112548"/>
          <w:sz w:val="21"/>
        </w:rPr>
        <w:t>Rechazo claro</w:t>
      </w:r>
      <w:r>
        <w:rPr>
          <w:rFonts w:ascii="Calibri" w:hAnsi="Calibri" w:eastAsia="Calibri"/>
          <w:b w:val="0"/>
          <w:i w:val="0"/>
          <w:color w:val="112548"/>
          <w:sz w:val="21"/>
        </w:rPr>
        <w:t xml:space="preserve"> («no realizaré la compra», «ya no me interesa», «no gracias», «decidimos no continuar»): si el cliente tiene un solo negocio en seguimiento, pasa solo a la etapa de pérdida. Unos segundos después el cliente recibe la pregunta de causa de no cierre, igual que con el botón. En el detalle de la causa queda el mensaje del cliente.</w:t>
      </w:r>
    </w:p>
    <w:p>
      <w:pPr>
        <w:spacing w:after="40" w:before="0" w:line="264" w:lineRule="auto"/>
        <w:pBdr>
          <w:left w:val="single" w:sz="18" w:space="8" w:color="34B3DE"/>
        </w:pBdr>
        <w:ind w:left="510" w:hanging="227"/>
      </w:pPr>
      <w:r>
        <w:rPr>
          <w:rFonts w:ascii="Calibri" w:hAnsi="Calibri" w:eastAsia="Calibri"/>
          <w:b/>
          <w:i w:val="0"/>
          <w:color w:val="34B3DE"/>
          <w:sz w:val="21"/>
        </w:rPr>
        <w:t xml:space="preserve">•  </w:t>
      </w:r>
      <w:r>
        <w:rPr>
          <w:rFonts w:ascii="Calibri" w:hAnsi="Calibri" w:eastAsia="Calibri"/>
          <w:b/>
          <w:i w:val="0"/>
          <w:color w:val="112548"/>
          <w:sz w:val="21"/>
        </w:rPr>
        <w:t>Cualquier otra respuesta:</w:t>
      </w:r>
      <w:r>
        <w:rPr>
          <w:rFonts w:ascii="Calibri" w:hAnsi="Calibri" w:eastAsia="Calibri"/>
          <w:b w:val="0"/>
          <w:i w:val="0"/>
          <w:color w:val="112548"/>
          <w:sz w:val="21"/>
        </w:rPr>
        <w:t xml:space="preserve"> si tiene un solo negocio en Cotizado, pasa a Negociación.</w:t>
      </w:r>
    </w:p>
    <w:p>
      <w:pPr>
        <w:spacing w:after="40" w:before="0" w:line="264" w:lineRule="auto"/>
        <w:pBdr>
          <w:left w:val="single" w:sz="18" w:space="8" w:color="34B3DE"/>
        </w:pBdr>
        <w:ind w:left="510" w:hanging="227"/>
      </w:pPr>
      <w:r>
        <w:rPr>
          <w:rFonts w:ascii="Calibri" w:hAnsi="Calibri" w:eastAsia="Calibri"/>
          <w:b/>
          <w:i w:val="0"/>
          <w:color w:val="34B3DE"/>
          <w:sz w:val="21"/>
        </w:rPr>
        <w:t xml:space="preserve">•  </w:t>
      </w:r>
      <w:r>
        <w:rPr>
          <w:rFonts w:ascii="Calibri" w:hAnsi="Calibri" w:eastAsia="Calibri"/>
          <w:b/>
          <w:i w:val="0"/>
          <w:color w:val="112548"/>
          <w:sz w:val="21"/>
        </w:rPr>
        <w:t>Más de un negocio en seguimiento:</w:t>
      </w:r>
      <w:r>
        <w:rPr>
          <w:rFonts w:ascii="Calibri" w:hAnsi="Calibri" w:eastAsia="Calibri"/>
          <w:b w:val="0"/>
          <w:i w:val="0"/>
          <w:color w:val="112548"/>
          <w:sz w:val="21"/>
        </w:rPr>
        <w:t xml:space="preserve"> el sistema no adivina cuál es. No mueve ninguno y crea una tarea para el vendedor («Cliente respondió por WhatsApp: elegir negocio» o «Rechazo del cliente por WhatsApp: elegir negocio»).</w:t>
      </w:r>
    </w:p>
    <w:p>
      <w:pPr>
        <w:spacing w:after="40" w:before="0" w:line="264" w:lineRule="auto"/>
        <w:pBdr>
          <w:left w:val="single" w:sz="18" w:space="8" w:color="34B3DE"/>
        </w:pBdr>
        <w:ind w:left="510" w:hanging="227"/>
      </w:pPr>
      <w:r>
        <w:rPr>
          <w:rFonts w:ascii="Calibri" w:hAnsi="Calibri" w:eastAsia="Calibri"/>
          <w:b/>
          <w:i w:val="0"/>
          <w:color w:val="34B3DE"/>
          <w:sz w:val="21"/>
        </w:rPr>
        <w:t xml:space="preserve">•  </w:t>
      </w:r>
      <w:r>
        <w:rPr>
          <w:rFonts w:ascii="Calibri" w:hAnsi="Calibri" w:eastAsia="Calibri"/>
          <w:b/>
          <w:i w:val="0"/>
          <w:color w:val="112548"/>
          <w:sz w:val="21"/>
        </w:rPr>
        <w:t>Pipeline sin etapa «Negociación» o sin etapa de pérdida:</w:t>
      </w:r>
      <w:r>
        <w:rPr>
          <w:rFonts w:ascii="Calibri" w:hAnsi="Calibri" w:eastAsia="Calibri"/>
          <w:b w:val="0"/>
          <w:i w:val="0"/>
          <w:color w:val="112548"/>
          <w:sz w:val="21"/>
        </w:rPr>
        <w:t xml:space="preserve"> no mueve el negocio y crea una tarea para el vendedor.</w:t>
      </w:r>
    </w:p>
    <w:p>
      <w:pPr>
        <w:spacing w:after="80" w:before="0" w:line="264" w:lineRule="auto"/>
        <w:pBdr>
          <w:left w:val="single" w:sz="18" w:space="8" w:color="34B3DE"/>
        </w:pBdr>
        <w:ind w:left="227"/>
      </w:pPr>
      <w:r>
        <w:rPr>
          <w:rFonts w:ascii="Calibri" w:hAnsi="Calibri" w:eastAsia="Calibri"/>
          <w:b/>
          <w:i w:val="0"/>
          <w:color w:val="112548"/>
          <w:sz w:val="21"/>
        </w:rPr>
        <w:t>Qué hace el vendedor:</w:t>
      </w:r>
      <w:r>
        <w:rPr>
          <w:rFonts w:ascii="Calibri" w:hAnsi="Calibri" w:eastAsia="Calibri"/>
          <w:b w:val="0"/>
          <w:i w:val="0"/>
          <w:color w:val="112548"/>
          <w:sz w:val="21"/>
        </w:rPr>
        <w:t xml:space="preserve"> revisar sus tareas (Mis Tareas) y la línea de tiempo del negocio, donde queda escrito qué hizo el sistema y con qué mensaje. Si el sistema cerró un negocio por error (una frase que parecía rechazo y no lo era), se mueve de vuelta a la etapa correcta a mano en el Pipeline. Una secuencia pausada se reactiva desde la ficha del negocio, panel «Seguimiento», botón «Reactivar».</w:t>
      </w:r>
    </w:p>
    <w:p>
      <w:pPr>
        <w:spacing w:after="80" w:before="0" w:line="264" w:lineRule="auto"/>
        <w:pBdr>
          <w:left w:val="single" w:sz="18" w:space="8" w:color="34B3DE"/>
        </w:pBdr>
        <w:ind w:left="227"/>
      </w:pPr>
      <w:r>
        <w:rPr>
          <w:rFonts w:ascii="Calibri" w:hAnsi="Calibri" w:eastAsia="Calibri"/>
          <w:b/>
          <w:i w:val="0"/>
          <w:color w:val="112548"/>
          <w:sz w:val="21"/>
        </w:rPr>
        <w:t>Límite:</w:t>
      </w:r>
      <w:r>
        <w:rPr>
          <w:rFonts w:ascii="Calibri" w:hAnsi="Calibri" w:eastAsia="Calibri"/>
          <w:b w:val="0"/>
          <w:i w:val="0"/>
          <w:color w:val="112548"/>
          <w:sz w:val="21"/>
        </w:rPr>
        <w:t xml:space="preserve"> el sistema reconoce el rechazo comparando el texto con una lista fija de frases. No interpreta el sentido del mensaje. Un rechazo escrito con otras palabras se trata como una respuesta normal.</w:t>
      </w:r>
    </w:p>
    <w:p>
      <w:pPr>
        <w:spacing w:after="40" w:before="0" w:line="264" w:lineRule="auto"/>
      </w:pPr>
    </w:p>
    <w:p>
      <w:pPr>
        <w:keepNext/>
        <w:spacing w:after="80" w:before="240" w:line="264" w:lineRule="auto"/>
        <w:pBdr>
          <w:bottom w:val="single" w:sz="8" w:space="2" w:color="34B3DE"/>
        </w:pBdr>
      </w:pPr>
      <w:r>
        <w:rPr>
          <w:rFonts w:ascii="Calibri" w:hAnsi="Calibri" w:eastAsia="Calibri"/>
          <w:b/>
          <w:i w:val="0"/>
          <w:color w:val="112548"/>
          <w:sz w:val="26"/>
        </w:rPr>
        <w:t>3. §5.12 Secuencias — corregir la frase de «Cuándo se detiene»</w:t>
      </w:r>
    </w:p>
    <w:p>
      <w:pPr>
        <w:spacing w:after="80" w:before="0" w:line="264" w:lineRule="auto"/>
      </w:pPr>
      <w:r>
        <w:rPr>
          <w:rFonts w:ascii="Calibri" w:hAnsi="Calibri" w:eastAsia="Calibri"/>
          <w:b w:val="0"/>
          <w:i w:val="0"/>
          <w:color w:val="112548"/>
          <w:sz w:val="21"/>
        </w:rPr>
        <w:t>Texto actual: «Hoy «sin respuesta» depende de que alguien marque la respuesta a mano; el sistema no detecta solo las respuestas por correo ni por WhatsApp.»</w:t>
      </w:r>
    </w:p>
    <w:p>
      <w:pPr>
        <w:spacing w:after="80" w:before="0" w:line="264" w:lineRule="auto"/>
      </w:pPr>
      <w:r>
        <w:rPr>
          <w:rFonts w:ascii="Calibri" w:hAnsi="Calibri" w:eastAsia="Calibri"/>
          <w:b w:val="0"/>
          <w:i w:val="0"/>
          <w:color w:val="112548"/>
          <w:sz w:val="21"/>
        </w:rPr>
        <w:t>Reemplazar por: «Las respuestas del cliente por WhatsApp se detectan solas: la secuencia se pausa y el negocio se mueve según se explica en §5.8. Las respuestas por correo siguen dependiendo de que alguien marque «Cliente respondió» a mano.»</w:t>
      </w:r>
    </w:p>
    <w:p>
      <w:pPr>
        <w:keepNext/>
        <w:spacing w:after="80" w:before="240" w:line="264" w:lineRule="auto"/>
        <w:pBdr>
          <w:bottom w:val="single" w:sz="8" w:space="2" w:color="34B3DE"/>
        </w:pBdr>
      </w:pPr>
      <w:r>
        <w:rPr>
          <w:rFonts w:ascii="Calibri" w:hAnsi="Calibri" w:eastAsia="Calibri"/>
          <w:b/>
          <w:i w:val="0"/>
          <w:color w:val="112548"/>
          <w:sz w:val="26"/>
        </w:rPr>
        <w:t>4. §3.2 / §4 Qué puede ver cada rol — sin cambios</w:t>
      </w:r>
    </w:p>
    <w:p>
      <w:pPr>
        <w:spacing w:after="80" w:before="0" w:line="264" w:lineRule="auto"/>
      </w:pPr>
      <w:r>
        <w:rPr>
          <w:rFonts w:ascii="Calibri" w:hAnsi="Calibri" w:eastAsia="Calibri"/>
          <w:b w:val="0"/>
          <w:i w:val="0"/>
          <w:color w:val="112548"/>
          <w:sz w:val="21"/>
        </w:rPr>
        <w:t>Las tareas nuevas se crean para el vendedor del negocio y aparecen en su Mis Tareas, que ya está en el menú de vendedor y call center. No hay cambios de permisos.</w:t>
      </w:r>
    </w:p>
    <w:sectPr w:rsidR="00FC693F" w:rsidRPr="0006063C" w:rsidSect="00034616">
      <w:headerReference w:type="default" r:id="rId9"/>
      <w:footerReference w:type="default" r:id="rId10"/>
      <w:pgSz w:w="12240" w:h="15840"/>
      <w:pgMar w:top="1361"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Uso interno  ·  Página </w:t>
    </w:r>
    <w:r>
      <w:rPr>
        <w:rFonts w:ascii="Calibri" w:hAnsi="Calibri" w:eastAsia="Calibri"/>
        <w:b w:val="0"/>
        <w:i w:val="0"/>
        <w:color w:val="555555"/>
        <w:sz w:val="18"/>
      </w:rPr>
      <w:fldChar w:fldCharType="begin"/>
    </w:r>
    <w:r>
      <w:rPr>
        <w:rFonts w:ascii="Calibri" w:hAnsi="Calibri" w:eastAsia="Calibri"/>
        <w:b w:val="0"/>
        <w:i w:val="0"/>
        <w:color w:val="555555"/>
        <w:sz w:val="18"/>
      </w:rPr>
      <w:instrText xml:space="preserve">PAGE</w:instrText>
    </w:r>
    <w:r>
      <w:rPr>
        <w:rFonts w:ascii="Calibri" w:hAnsi="Calibri" w:eastAsia="Calibri"/>
        <w:b w:val="0"/>
        <w:i w:val="0"/>
        <w:color w:val="555555"/>
        <w:sz w:val="18"/>
      </w:rPr>
      <w:fldChar w:fldCharType="separate"/>
    </w:r>
    <w:r>
      <w:rPr>
        <w:rFonts w:ascii="Calibri" w:hAnsi="Calibri" w:eastAsia="Calibri"/>
        <w:b w:val="0"/>
        <w:i w:val="0"/>
        <w:color w:val="555555"/>
        <w:sz w:val="18"/>
      </w:rPr>
      <w:t>1</w:t>
    </w:r>
    <w:r>
      <w:rPr>
        <w:rFonts w:ascii="Calibri" w:hAnsi="Calibri" w:eastAsia="Calibri"/>
        <w:b w:val="0"/>
        <w:i w:val="0"/>
        <w:color w:val="555555"/>
        <w:sz w:val="18"/>
      </w:rPr>
      <w:fldChar w:fldCharType="end"/>
    </w:r>
    <w:r>
      <w:rPr>
        <w:rFonts w:ascii="Calibri" w:hAnsi="Calibri" w:eastAsia="Calibri"/>
        <w:b w:val="0"/>
        <w:i w:val="0"/>
        <w:color w:val="555555"/>
        <w:sz w:val="18"/>
      </w:rPr>
      <w:t xml:space="preserve"> de </w:t>
    </w:r>
    <w:r>
      <w:rPr>
        <w:rFonts w:ascii="Calibri" w:hAnsi="Calibri" w:eastAsia="Calibri"/>
        <w:b w:val="0"/>
        <w:i w:val="0"/>
        <w:color w:val="555555"/>
        <w:sz w:val="18"/>
      </w:rPr>
      <w:fldChar w:fldCharType="begin"/>
    </w:r>
    <w:r>
      <w:rPr>
        <w:rFonts w:ascii="Calibri" w:hAnsi="Calibri" w:eastAsia="Calibri"/>
        <w:b w:val="0"/>
        <w:i w:val="0"/>
        <w:color w:val="555555"/>
        <w:sz w:val="18"/>
      </w:rPr>
      <w:instrText xml:space="preserve">NUMPAGES</w:instrText>
    </w:r>
    <w:r>
      <w:rPr>
        <w:rFonts w:ascii="Calibri" w:hAnsi="Calibri" w:eastAsia="Calibri"/>
        <w:b w:val="0"/>
        <w:i w:val="0"/>
        <w:color w:val="555555"/>
        <w:sz w:val="18"/>
      </w:rPr>
      <w:fldChar w:fldCharType="separate"/>
    </w:r>
    <w:r>
      <w:rPr>
        <w:rFonts w:ascii="Calibri" w:hAnsi="Calibri" w:eastAsia="Calibri"/>
        <w:b w:val="0"/>
        <w:i w:val="0"/>
        <w:color w:val="555555"/>
        <w:sz w:val="18"/>
      </w:rPr>
      <w:t>1</w:t>
    </w:r>
    <w:r>
      <w:rPr>
        <w:rFonts w:ascii="Calibri" w:hAnsi="Calibri" w:eastAsia="Calibri"/>
        <w:b w:val="0"/>
        <w:i w:val="0"/>
        <w:color w:val="555555"/>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12548"/>
        <w:sz w:val="18"/>
      </w:rPr>
      <w:t>HT-IN-05 · Hoja de actualización v09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HT-IN-05 · Hoja de actualización v09</dc:title>
  <dc:subject>Manual de usuario CRM Comercial Hidrotécnica — respuesta del cliente por WhatsApp</dc:subject>
  <dc:creator>Luis Devoto / Claude (IA)</dc:creator>
  <cp:keywords/>
  <dc:description>generated by python-docx</dc:description>
  <cp:lastModifiedBy/>
  <cp:revision>1</cp:revision>
  <dcterms:created xsi:type="dcterms:W3CDTF">2013-12-23T23:15:00Z</dcterms:created>
  <dcterms:modified xsi:type="dcterms:W3CDTF">2013-12-23T23:15:00Z</dcterms:modified>
  <cp:category/>
</cp:coreProperties>
</file>