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 w:line="264" w:lineRule="auto"/>
      </w:pPr>
      <w:r>
        <w:rPr>
          <w:rFonts w:ascii="Calibri" w:hAnsi="Calibri" w:eastAsia="Calibri"/>
          <w:b/>
          <w:i w:val="0"/>
          <w:color w:val="34B3DE"/>
          <w:sz w:val="24"/>
        </w:rPr>
        <w:t>HIDROTÉCNICA SpA</w:t>
      </w:r>
    </w:p>
    <w:p>
      <w:pPr>
        <w:spacing w:after="40" w:before="0" w:line="264" w:lineRule="auto"/>
      </w:pPr>
      <w:r>
        <w:rPr>
          <w:rFonts w:ascii="Calibri" w:hAnsi="Calibri" w:eastAsia="Calibri"/>
          <w:b/>
          <w:i w:val="0"/>
          <w:color w:val="112548"/>
          <w:sz w:val="44"/>
        </w:rPr>
        <w:t>HT-IN-05 · Hoja de actualización v10</w:t>
      </w:r>
    </w:p>
    <w:p>
      <w:pPr>
        <w:spacing w:after="20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6"/>
        </w:rPr>
        <w:t>Manual de usuario CRM Comercial Hidrotécnica — técnicos en el importador de oportunidades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4B3DE"/>
          <w:left w:val="single" w:sz="4" w:space="0" w:color="34B3DE"/>
          <w:bottom w:val="single" w:sz="4" w:space="0" w:color="34B3DE"/>
          <w:right w:val="single" w:sz="4" w:space="0" w:color="34B3DE"/>
          <w:insideH w:val="single" w:sz="4" w:space="0" w:color="34B3DE"/>
          <w:insideV w:val="single" w:sz="4" w:space="0" w:color="34B3DE"/>
        </w:tblBorders>
        <w:tblLayout w:type="fixed"/>
      </w:tblPr>
      <w:tblGrid>
        <w:gridCol w:w="2608"/>
        <w:gridCol w:w="7030"/>
      </w:tblGrid>
      <w:tr>
        <w:tc>
          <w:tcPr>
            <w:tcW w:type="dxa" w:w="2608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Dato</w:t>
            </w:r>
          </w:p>
        </w:tc>
        <w:tc>
          <w:tcPr>
            <w:tcW w:type="dxa" w:w="7030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Documento a actualizar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HT-IN-05 Manual de usuario CRM Comercial Hidrotécnica, v09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Versión nueva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Cambio que se incorpora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Importador de oportunidades: la columna «tecnicos» acepta nombre sin tildes y parcial (HT-AP-03, nota de cambio v1.43)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Estado del cambio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En producción desde el 08-10-2026 (rama main, commit 11dcc9a).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Clasificación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Uso interno</w:t>
            </w:r>
          </w:p>
        </w:tc>
      </w:tr>
    </w:tbl>
    <w:p>
      <w:pPr>
        <w:spacing w:after="40" w:before="0" w:line="264" w:lineRule="auto"/>
      </w:pPr>
    </w:p>
    <w:p>
      <w:pPr>
        <w:spacing w:after="160" w:before="0" w:line="264" w:lineRule="auto"/>
      </w:pPr>
      <w:r>
        <w:rPr>
          <w:rFonts w:ascii="Calibri" w:hAnsi="Calibri" w:eastAsia="Calibri"/>
          <w:b w:val="0"/>
          <w:i/>
          <w:color w:val="555555"/>
          <w:sz w:val="20"/>
        </w:rPr>
        <w:t>Contiene solo el texto nuevo y dónde insertarlo en el manual vigente (que ya lleva logo, encabezado y numeración). Ubicar cada texto por el título de la sección: la numeración puede diferir entre versiones del manual y no se verificó contra la v08. Las firmas de Elaborado, Revisado y Aprobado se completan en la portada del manual al emitir la versión. Se propone una versión del manual por cada hoja; si se prefiere, se pueden agrupar en una sola al publicar.</w:t>
      </w: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1. Control de cambios — fila nueva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Agregar al final de la tabla de control de cambios del manual: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4B3DE"/>
          <w:left w:val="single" w:sz="4" w:space="0" w:color="34B3DE"/>
          <w:bottom w:val="single" w:sz="4" w:space="0" w:color="34B3DE"/>
          <w:right w:val="single" w:sz="4" w:space="0" w:color="34B3DE"/>
          <w:insideH w:val="single" w:sz="4" w:space="0" w:color="34B3DE"/>
          <w:insideV w:val="single" w:sz="4" w:space="0" w:color="34B3DE"/>
        </w:tblBorders>
        <w:tblLayout w:type="fixed"/>
      </w:tblPr>
      <w:tblGrid>
        <w:gridCol w:w="1020"/>
        <w:gridCol w:w="1814"/>
        <w:gridCol w:w="1814"/>
        <w:gridCol w:w="4989"/>
      </w:tblGrid>
      <w:tr>
        <w:tc>
          <w:tcPr>
            <w:tcW w:type="dxa" w:w="1020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N° Ver.</w:t>
            </w:r>
          </w:p>
        </w:tc>
        <w:tc>
          <w:tcPr>
            <w:tcW w:type="dxa" w:w="1814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Fecha</w:t>
            </w:r>
          </w:p>
        </w:tc>
        <w:tc>
          <w:tcPr>
            <w:tcW w:type="dxa" w:w="1814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Autor</w:t>
            </w:r>
          </w:p>
        </w:tc>
        <w:tc>
          <w:tcPr>
            <w:tcW w:type="dxa" w:w="4989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Descripción del cambio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10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(fecha de publicación)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Luis Devoto / Claude (IA)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El importador de oportunidades acepta en la columna «tecnicos» el nombre sin tildes y parcial (2 o más palabras), además del correo y el nombre completo. Si el nombre calza con más de un técnico, la fila se rechaza como «técnico ambiguo» (módulo Pipeline).</w:t>
            </w:r>
          </w:p>
        </w:tc>
      </w:tr>
    </w:tbl>
    <w:p>
      <w:pPr>
        <w:spacing w:after="40" w:before="0" w:line="264" w:lineRule="auto"/>
      </w:pP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2. Módulo Pipeline — importador de oportunidades: subsección nueva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Insertar en la sección «Pipeline (negocios)», donde se describe el importador de oportunidades. Si el manual no lo describe, agregarla como subsección al final de esa sección.</w:t>
      </w:r>
    </w:p>
    <w:p>
      <w:pPr>
        <w:keepNext/>
        <w:spacing w:after="60" w:before="4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/>
          <w:i w:val="0"/>
          <w:color w:val="112548"/>
          <w:sz w:val="22"/>
        </w:rPr>
        <w:t>Cómo escribir los técnicos en el importador de oportunidades (v1.43)</w:t>
      </w:r>
    </w:p>
    <w:p>
      <w:pPr>
        <w:spacing w:after="80" w:before="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En la columna </w:t>
      </w:r>
      <w:r>
        <w:rPr>
          <w:rFonts w:ascii="Calibri" w:hAnsi="Calibri" w:eastAsia="Calibri"/>
          <w:b/>
          <w:i w:val="0"/>
          <w:color w:val="112548"/>
          <w:sz w:val="21"/>
        </w:rPr>
        <w:t>tecnicos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del archivo CSV se anota quién ejecuta el trabajo. Antes había que escribir el nombre completo con tildes o el correo; ahora el sistema entiende el nombre sin tildes, con mayúsculas o minúsculas y escrito de forma parcial. Solo se asignan usuarios </w:t>
      </w:r>
      <w:r>
        <w:rPr>
          <w:rFonts w:ascii="Calibri" w:hAnsi="Calibri" w:eastAsia="Calibri"/>
          <w:b/>
          <w:i w:val="0"/>
          <w:color w:val="112548"/>
          <w:sz w:val="21"/>
        </w:rPr>
        <w:t>activos con perfil técnico</w:t>
      </w:r>
      <w:r>
        <w:rPr>
          <w:rFonts w:ascii="Calibri" w:hAnsi="Calibri" w:eastAsia="Calibri"/>
          <w:b w:val="0"/>
          <w:i w:val="0"/>
          <w:color w:val="112548"/>
          <w:sz w:val="21"/>
        </w:rPr>
        <w:t>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Correo o nombre completo: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funciona siempre, con o sin tildes.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Nombre y apellido, en cualquier orden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(por ejemplo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Raul Ibarra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o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Rojas Matias</w:t>
      </w:r>
      <w:r>
        <w:rPr>
          <w:rFonts w:ascii="Calibri" w:hAnsi="Calibri" w:eastAsia="Calibri"/>
          <w:b w:val="0"/>
          <w:i w:val="0"/>
          <w:color w:val="112548"/>
          <w:sz w:val="21"/>
        </w:rPr>
        <w:t>): se asigna si solo un técnico coincide.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Una sola palabra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(por ejemplo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Ibarra</w:t>
      </w:r>
      <w:r>
        <w:rPr>
          <w:rFonts w:ascii="Calibri" w:hAnsi="Calibri" w:eastAsia="Calibri"/>
          <w:b w:val="0"/>
          <w:i w:val="0"/>
          <w:color w:val="112548"/>
          <w:sz w:val="21"/>
        </w:rPr>
        <w:t>): la fila se rechaza. Hay que escribir al menos dos palabras.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Dos técnicos que calzan con lo escrito: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la fila se rechaza con el mensaje «técnico ambiguo». Escribir el nombre completo o el correo.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Varios técnicos en una misma celda: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separarlos con punto y coma. Si el archivo usa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;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como separador de columnas, la celda va entre comillas: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"Matias Rojas;Raul Ibarra"</w:t>
      </w:r>
      <w:r>
        <w:rPr>
          <w:rFonts w:ascii="Calibri" w:hAnsi="Calibri" w:eastAsia="Calibri"/>
          <w:b w:val="0"/>
          <w:i w:val="0"/>
          <w:color w:val="112548"/>
          <w:sz w:val="21"/>
        </w:rPr>
        <w:t>.</w:t>
      </w:r>
    </w:p>
    <w:p>
      <w:pPr>
        <w:spacing w:after="80" w:before="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Consejo: ante la duda, usar el correo. Un nombre parcial puede coincidir con una palabra que no es el nombre de pila (por ejemplo,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Luis Lopez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coincide con «Vicente Luis Lopez Barrera» si es el único).</w:t>
      </w:r>
    </w:p>
    <w:p>
      <w:pPr>
        <w:spacing w:after="40" w:before="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247" w:bottom="124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 xml:space="preserve">Uso interno  ·  Página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</w:r>
    <w:r>
      <w:rPr>
        <w:rFonts w:ascii="Calibri" w:hAnsi="Calibri" w:eastAsia="Calibri"/>
        <w:b w:val="0"/>
        <w:i w:val="0"/>
        <w:color w:val="555555"/>
        <w:sz w:val="18"/>
      </w:rPr>
      <w:instrText xml:space="preserve">PAGE</w:instrText>
    </w:r>
    <w:r>
      <w:rPr>
        <w:rFonts w:ascii="Calibri" w:hAnsi="Calibri" w:eastAsia="Calibri"/>
        <w:b w:val="0"/>
        <w:i w:val="0"/>
        <w:color w:val="555555"/>
        <w:sz w:val="18"/>
      </w:rPr>
      <w:fldChar w:fldCharType="separate"/>
    </w:r>
    <w:r>
      <w:rPr>
        <w:rFonts w:ascii="Calibri" w:hAnsi="Calibri" w:eastAsia="Calibri"/>
        <w:b w:val="0"/>
        <w:i w:val="0"/>
        <w:color w:val="555555"/>
        <w:sz w:val="18"/>
      </w:rPr>
      <w:t>1</w:t>
    </w:r>
    <w:r>
      <w:rPr>
        <w:rFonts w:ascii="Calibri" w:hAnsi="Calibri" w:eastAsia="Calibri"/>
        <w:b w:val="0"/>
        <w:i w:val="0"/>
        <w:color w:val="555555"/>
        <w:sz w:val="18"/>
      </w:rPr>
      <w:fldChar w:fldCharType="end"/>
    </w:r>
    <w:r>
      <w:rPr>
        <w:rFonts w:ascii="Calibri" w:hAnsi="Calibri" w:eastAsia="Calibri"/>
        <w:b w:val="0"/>
        <w:i w:val="0"/>
        <w:color w:val="555555"/>
        <w:sz w:val="18"/>
      </w:rPr>
      <w:t xml:space="preserve"> de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</w:r>
    <w:r>
      <w:rPr>
        <w:rFonts w:ascii="Calibri" w:hAnsi="Calibri" w:eastAsia="Calibri"/>
        <w:b w:val="0"/>
        <w:i w:val="0"/>
        <w:color w:val="555555"/>
        <w:sz w:val="18"/>
      </w:rPr>
      <w:instrText xml:space="preserve">NUMPAGES</w:instrText>
    </w:r>
    <w:r>
      <w:rPr>
        <w:rFonts w:ascii="Calibri" w:hAnsi="Calibri" w:eastAsia="Calibri"/>
        <w:b w:val="0"/>
        <w:i w:val="0"/>
        <w:color w:val="555555"/>
        <w:sz w:val="18"/>
      </w:rPr>
      <w:fldChar w:fldCharType="separate"/>
    </w:r>
    <w:r>
      <w:rPr>
        <w:rFonts w:ascii="Calibri" w:hAnsi="Calibri" w:eastAsia="Calibri"/>
        <w:b w:val="0"/>
        <w:i w:val="0"/>
        <w:color w:val="555555"/>
        <w:sz w:val="18"/>
      </w:rPr>
      <w:t>1</w:t>
    </w:r>
    <w:r>
      <w:rPr>
        <w:rFonts w:ascii="Calibri" w:hAnsi="Calibri" w:eastAsia="Calibri"/>
        <w:b w:val="0"/>
        <w:i w:val="0"/>
        <w:color w:val="555555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i w:val="0"/>
        <w:color w:val="112548"/>
        <w:sz w:val="18"/>
      </w:rPr>
      <w:t>HT-IN-05 · Hoja de actualización v10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HT-IN-05 · Hoja de actualización v10</dc:title>
  <dc:subject>Manual de usuario CRM Comercial Hidrotécnica — técnicos en el importador de oportunidades</dc:subject>
  <dc:creator>Luis Devoto / Claude (IA)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