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line="264" w:lineRule="auto"/>
      </w:pPr>
      <w:r>
        <w:rPr>
          <w:rFonts w:ascii="Calibri" w:hAnsi="Calibri" w:eastAsia="Calibri"/>
          <w:b/>
          <w:i w:val="0"/>
          <w:color w:val="34B3DE"/>
          <w:sz w:val="24"/>
        </w:rPr>
        <w:t>HIDROTÉCNICA SpA</w:t>
      </w:r>
    </w:p>
    <w:p>
      <w:pPr>
        <w:spacing w:after="40" w:before="0" w:line="264" w:lineRule="auto"/>
      </w:pPr>
      <w:r>
        <w:rPr>
          <w:rFonts w:ascii="Calibri" w:hAnsi="Calibri" w:eastAsia="Calibri"/>
          <w:b/>
          <w:i w:val="0"/>
          <w:color w:val="112548"/>
          <w:sz w:val="44"/>
        </w:rPr>
        <w:t>HT-AP-03 · Hoja de actualización v1.42</w:t>
      </w:r>
    </w:p>
    <w:p>
      <w:pPr>
        <w:spacing w:after="200" w:before="0" w:line="264" w:lineRule="auto"/>
      </w:pPr>
      <w:r>
        <w:rPr>
          <w:rFonts w:ascii="Calibri" w:hAnsi="Calibri" w:eastAsia="Calibri"/>
          <w:b w:val="0"/>
          <w:i w:val="0"/>
          <w:color w:val="112548"/>
          <w:sz w:val="26"/>
        </w:rPr>
        <w:t>CRM Comercial Hidrotécnica — respuesta del cliente por WhatsApp</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2608"/>
        <w:gridCol w:w="7030"/>
      </w:tblGrid>
      <w:tr>
        <w:tc>
          <w:tcPr>
            <w:tcW w:type="dxa" w:w="2608"/>
            <w:shd w:val="clear" w:color="auto" w:fill="112548"/>
          </w:tcPr>
          <w:p>
            <w:pPr>
              <w:spacing w:after="40"/>
            </w:pPr>
            <w:r>
              <w:rPr>
                <w:rFonts w:ascii="Calibri" w:hAnsi="Calibri" w:eastAsia="Calibri"/>
                <w:b/>
                <w:i w:val="0"/>
                <w:color w:val="FFFFFF"/>
                <w:sz w:val="20"/>
              </w:rPr>
              <w:t>Dato</w:t>
            </w:r>
          </w:p>
        </w:tc>
        <w:tc>
          <w:tcPr>
            <w:tcW w:type="dxa" w:w="7030"/>
            <w:shd w:val="clear" w:color="auto" w:fill="112548"/>
          </w:tcPr>
          <w:p>
            <w:pPr>
              <w:spacing w:after="40"/>
            </w:pPr>
            <w:r>
              <w:rPr>
                <w:rFonts w:ascii="Calibri" w:hAnsi="Calibri" w:eastAsia="Calibri"/>
                <w:b/>
                <w:i w:val="0"/>
                <w:color w:val="FFFFFF"/>
                <w:sz w:val="20"/>
              </w:rPr>
              <w:t>Detalle</w:t>
            </w:r>
          </w:p>
        </w:tc>
      </w:tr>
      <w:tr>
        <w:trPr>
          <w:cantSplit/>
        </w:trPr>
        <w:tc>
          <w:tcPr>
            <w:tcW w:type="dxa" w:w="2608"/>
          </w:tcPr>
          <w:p>
            <w:pPr>
              <w:spacing w:after="40"/>
            </w:pPr>
            <w:r>
              <w:rPr>
                <w:rFonts w:ascii="Calibri" w:hAnsi="Calibri" w:eastAsia="Calibri"/>
                <w:b w:val="0"/>
                <w:i w:val="0"/>
                <w:color w:val="112548"/>
                <w:sz w:val="20"/>
              </w:rPr>
              <w:t>Documento a actualizar</w:t>
            </w:r>
          </w:p>
        </w:tc>
        <w:tc>
          <w:tcPr>
            <w:tcW w:type="dxa" w:w="7030"/>
          </w:tcPr>
          <w:p>
            <w:pPr>
              <w:spacing w:after="40"/>
            </w:pPr>
            <w:r>
              <w:rPr>
                <w:rFonts w:ascii="Calibri" w:hAnsi="Calibri" w:eastAsia="Calibri"/>
                <w:b w:val="0"/>
                <w:i w:val="0"/>
                <w:color w:val="112548"/>
                <w:sz w:val="20"/>
              </w:rPr>
              <w:t>HT-AP-03 Documento Consolidado CRM Comercial Hidrotécnica, v1.40 (01-10-2026), con las hojas anteriores ya aplicadas en orden</w:t>
            </w:r>
          </w:p>
        </w:tc>
      </w:tr>
      <w:tr>
        <w:trPr>
          <w:cantSplit/>
        </w:trPr>
        <w:tc>
          <w:tcPr>
            <w:tcW w:type="dxa" w:w="2608"/>
          </w:tcPr>
          <w:p>
            <w:pPr>
              <w:spacing w:after="40"/>
            </w:pPr>
            <w:r>
              <w:rPr>
                <w:rFonts w:ascii="Calibri" w:hAnsi="Calibri" w:eastAsia="Calibri"/>
                <w:b w:val="0"/>
                <w:i w:val="0"/>
                <w:color w:val="112548"/>
                <w:sz w:val="20"/>
              </w:rPr>
              <w:t>Cambio que se incorpora</w:t>
            </w:r>
          </w:p>
        </w:tc>
        <w:tc>
          <w:tcPr>
            <w:tcW w:type="dxa" w:w="7030"/>
          </w:tcPr>
          <w:p>
            <w:pPr>
              <w:spacing w:after="40"/>
            </w:pPr>
            <w:r>
              <w:rPr>
                <w:rFonts w:ascii="Calibri" w:hAnsi="Calibri" w:eastAsia="Calibri"/>
                <w:b w:val="0"/>
                <w:i w:val="0"/>
                <w:color w:val="112548"/>
                <w:sz w:val="20"/>
              </w:rPr>
              <w:t>Nota de cambio v1.42 — respuesta del cliente por WhatsApp a un negocio en seguimiento (07-10-2026)</w:t>
            </w:r>
          </w:p>
        </w:tc>
      </w:tr>
      <w:tr>
        <w:trPr>
          <w:cantSplit/>
        </w:trPr>
        <w:tc>
          <w:tcPr>
            <w:tcW w:type="dxa" w:w="2608"/>
          </w:tcPr>
          <w:p>
            <w:pPr>
              <w:spacing w:after="40"/>
            </w:pPr>
            <w:r>
              <w:rPr>
                <w:rFonts w:ascii="Calibri" w:hAnsi="Calibri" w:eastAsia="Calibri"/>
                <w:b w:val="0"/>
                <w:i w:val="0"/>
                <w:color w:val="112548"/>
                <w:sz w:val="20"/>
              </w:rPr>
              <w:t>Estado del cambio</w:t>
            </w:r>
          </w:p>
        </w:tc>
        <w:tc>
          <w:tcPr>
            <w:tcW w:type="dxa" w:w="7030"/>
          </w:tcPr>
          <w:p>
            <w:pPr>
              <w:spacing w:after="40"/>
            </w:pPr>
            <w:r>
              <w:rPr>
                <w:rFonts w:ascii="Calibri" w:hAnsi="Calibri" w:eastAsia="Calibri"/>
                <w:b w:val="0"/>
                <w:i w:val="0"/>
                <w:color w:val="112548"/>
                <w:sz w:val="20"/>
              </w:rPr>
              <w:t>En producción desde el 08-10-2026 (rama main, commit 11dcc9a).</w:t>
            </w:r>
          </w:p>
        </w:tc>
      </w:tr>
      <w:tr>
        <w:trPr>
          <w:cantSplit/>
        </w:trPr>
        <w:tc>
          <w:tcPr>
            <w:tcW w:type="dxa" w:w="2608"/>
          </w:tcPr>
          <w:p>
            <w:pPr>
              <w:spacing w:after="40"/>
            </w:pPr>
            <w:r>
              <w:rPr>
                <w:rFonts w:ascii="Calibri" w:hAnsi="Calibri" w:eastAsia="Calibri"/>
                <w:b w:val="0"/>
                <w:i w:val="0"/>
                <w:color w:val="112548"/>
                <w:sz w:val="20"/>
              </w:rPr>
              <w:t>Clasificación</w:t>
            </w:r>
          </w:p>
        </w:tc>
        <w:tc>
          <w:tcPr>
            <w:tcW w:type="dxa" w:w="7030"/>
          </w:tcPr>
          <w:p>
            <w:pPr>
              <w:spacing w:after="40"/>
            </w:pPr>
            <w:r>
              <w:rPr>
                <w:rFonts w:ascii="Calibri" w:hAnsi="Calibri" w:eastAsia="Calibri"/>
                <w:b w:val="0"/>
                <w:i w:val="0"/>
                <w:color w:val="112548"/>
                <w:sz w:val="20"/>
              </w:rPr>
              <w:t>Uso interno</w:t>
            </w:r>
          </w:p>
        </w:tc>
      </w:tr>
    </w:tbl>
    <w:p>
      <w:pPr>
        <w:spacing w:after="40" w:before="0" w:line="264" w:lineRule="auto"/>
      </w:pPr>
    </w:p>
    <w:p>
      <w:pPr>
        <w:spacing w:after="160" w:before="0" w:line="264" w:lineRule="auto"/>
      </w:pPr>
      <w:r>
        <w:rPr>
          <w:rFonts w:ascii="Calibri" w:hAnsi="Calibri" w:eastAsia="Calibri"/>
          <w:b w:val="0"/>
          <w:i/>
          <w:color w:val="555555"/>
          <w:sz w:val="20"/>
        </w:rPr>
        <w:t>Este documento contiene solo el texto nuevo, con el lugar donde se inserta en el consolidado vigente (que ya lleva logo, encabezado y numeración). Aplicar las hojas en orden: v1.42, v1.43, v1.44, v1.45, v1.46 y v1.47. La nota de cambio v1.41 (integración con Mantenimiento) no está incluida: sigue solo en staging. Las frases a buscar se copian tal como están en el consolidado v1.40; si alguna no se encuentra, ubicar el párrafo por su título.</w:t>
      </w:r>
    </w:p>
    <w:p>
      <w:pPr>
        <w:keepNext/>
        <w:spacing w:after="80" w:before="240" w:line="264" w:lineRule="auto"/>
        <w:pBdr>
          <w:bottom w:val="single" w:sz="8" w:space="2" w:color="34B3DE"/>
        </w:pBdr>
      </w:pPr>
      <w:r>
        <w:rPr>
          <w:rFonts w:ascii="Calibri" w:hAnsi="Calibri" w:eastAsia="Calibri"/>
          <w:b/>
          <w:i w:val="0"/>
          <w:color w:val="112548"/>
          <w:sz w:val="26"/>
        </w:rPr>
        <w:t>1. Control de versiones — fila nueva</w:t>
      </w:r>
    </w:p>
    <w:p>
      <w:pPr>
        <w:spacing w:after="80" w:before="0" w:line="264" w:lineRule="auto"/>
      </w:pPr>
      <w:r>
        <w:rPr>
          <w:rFonts w:ascii="Calibri" w:hAnsi="Calibri" w:eastAsia="Calibri"/>
          <w:b w:val="0"/>
          <w:i w:val="0"/>
          <w:color w:val="112548"/>
          <w:sz w:val="21"/>
        </w:rPr>
        <w:t>Agregar al final de la tabla de control de versiones del consolidado y ajustar versión, fecha de vigencia y próxima revisión de la portada según la numeración que se asigne al consolidar:</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1134"/>
        <w:gridCol w:w="1361"/>
        <w:gridCol w:w="5896"/>
        <w:gridCol w:w="1474"/>
      </w:tblGrid>
      <w:tr>
        <w:tc>
          <w:tcPr>
            <w:tcW w:type="dxa" w:w="1134"/>
            <w:shd w:val="clear" w:color="auto" w:fill="112548"/>
          </w:tcPr>
          <w:p>
            <w:pPr>
              <w:spacing w:after="40"/>
            </w:pPr>
            <w:r>
              <w:rPr>
                <w:rFonts w:ascii="Calibri" w:hAnsi="Calibri" w:eastAsia="Calibri"/>
                <w:b/>
                <w:i w:val="0"/>
                <w:color w:val="FFFFFF"/>
                <w:sz w:val="19"/>
              </w:rPr>
              <w:t>Versión</w:t>
            </w:r>
          </w:p>
        </w:tc>
        <w:tc>
          <w:tcPr>
            <w:tcW w:type="dxa" w:w="1361"/>
            <w:shd w:val="clear" w:color="auto" w:fill="112548"/>
          </w:tcPr>
          <w:p>
            <w:pPr>
              <w:spacing w:after="40"/>
            </w:pPr>
            <w:r>
              <w:rPr>
                <w:rFonts w:ascii="Calibri" w:hAnsi="Calibri" w:eastAsia="Calibri"/>
                <w:b/>
                <w:i w:val="0"/>
                <w:color w:val="FFFFFF"/>
                <w:sz w:val="19"/>
              </w:rPr>
              <w:t>Fecha</w:t>
            </w:r>
          </w:p>
        </w:tc>
        <w:tc>
          <w:tcPr>
            <w:tcW w:type="dxa" w:w="5896"/>
            <w:shd w:val="clear" w:color="auto" w:fill="112548"/>
          </w:tcPr>
          <w:p>
            <w:pPr>
              <w:spacing w:after="40"/>
            </w:pPr>
            <w:r>
              <w:rPr>
                <w:rFonts w:ascii="Calibri" w:hAnsi="Calibri" w:eastAsia="Calibri"/>
                <w:b/>
                <w:i w:val="0"/>
                <w:color w:val="FFFFFF"/>
                <w:sz w:val="19"/>
              </w:rPr>
              <w:t>Descripción del cambio</w:t>
            </w:r>
          </w:p>
        </w:tc>
        <w:tc>
          <w:tcPr>
            <w:tcW w:type="dxa" w:w="1474"/>
            <w:shd w:val="clear" w:color="auto" w:fill="112548"/>
          </w:tcPr>
          <w:p>
            <w:pPr>
              <w:spacing w:after="40"/>
            </w:pPr>
            <w:r>
              <w:rPr>
                <w:rFonts w:ascii="Calibri" w:hAnsi="Calibri" w:eastAsia="Calibri"/>
                <w:b/>
                <w:i w:val="0"/>
                <w:color w:val="FFFFFF"/>
                <w:sz w:val="19"/>
              </w:rPr>
              <w:t>Autor</w:t>
            </w:r>
          </w:p>
        </w:tc>
      </w:tr>
      <w:tr>
        <w:trPr>
          <w:cantSplit/>
        </w:trPr>
        <w:tc>
          <w:tcPr>
            <w:tcW w:type="dxa" w:w="1134"/>
          </w:tcPr>
          <w:p>
            <w:pPr>
              <w:spacing w:after="40"/>
            </w:pPr>
            <w:r>
              <w:rPr>
                <w:rFonts w:ascii="Calibri" w:hAnsi="Calibri" w:eastAsia="Calibri"/>
                <w:b w:val="0"/>
                <w:i w:val="0"/>
                <w:color w:val="112548"/>
                <w:sz w:val="19"/>
              </w:rPr>
              <w:t>v1.42</w:t>
            </w:r>
          </w:p>
        </w:tc>
        <w:tc>
          <w:tcPr>
            <w:tcW w:type="dxa" w:w="1361"/>
          </w:tcPr>
          <w:p>
            <w:pPr>
              <w:spacing w:after="40"/>
            </w:pPr>
            <w:r>
              <w:rPr>
                <w:rFonts w:ascii="Calibri" w:hAnsi="Calibri" w:eastAsia="Calibri"/>
                <w:b w:val="0"/>
                <w:i w:val="0"/>
                <w:color w:val="112548"/>
                <w:sz w:val="19"/>
              </w:rPr>
              <w:t>07-10-2026</w:t>
            </w:r>
          </w:p>
        </w:tc>
        <w:tc>
          <w:tcPr>
            <w:tcW w:type="dxa" w:w="5896"/>
          </w:tcPr>
          <w:p>
            <w:pPr>
              <w:spacing w:after="40"/>
            </w:pPr>
            <w:r>
              <w:rPr>
                <w:rFonts w:ascii="Calibri" w:hAnsi="Calibri" w:eastAsia="Calibri"/>
                <w:b w:val="0"/>
                <w:i w:val="0"/>
                <w:color w:val="112548"/>
                <w:sz w:val="19"/>
              </w:rPr>
              <w:t>Incorpora la nota de cambio v1.42: la respuesta del cliente por WhatsApp pausa la secuencia de seguimiento, mueve el negocio a Negociación o a Perdido (rechazo claro) o avisa al vendedor. Detalle en §8 y §11.</w:t>
            </w:r>
          </w:p>
        </w:tc>
        <w:tc>
          <w:tcPr>
            <w:tcW w:type="dxa" w:w="1474"/>
          </w:tcPr>
          <w:p>
            <w:pPr>
              <w:spacing w:after="40"/>
            </w:pPr>
            <w:r>
              <w:rPr>
                <w:rFonts w:ascii="Calibri" w:hAnsi="Calibri" w:eastAsia="Calibri"/>
                <w:b w:val="0"/>
                <w:i w:val="0"/>
                <w:color w:val="112548"/>
                <w:sz w:val="19"/>
              </w:rPr>
              <w:t>Luis Devoto / Claude (IA)</w:t>
            </w:r>
          </w:p>
        </w:tc>
      </w:tr>
    </w:tbl>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2. §8 Motor de seguimiento — reemplazar la frase sobre respuestas</w:t>
      </w:r>
    </w:p>
    <w:p>
      <w:pPr>
        <w:spacing w:after="80" w:before="0" w:line="264" w:lineRule="auto"/>
      </w:pPr>
      <w:r>
        <w:rPr>
          <w:rFonts w:ascii="Calibri" w:hAnsi="Calibri" w:eastAsia="Calibri"/>
          <w:b w:val="0"/>
          <w:i w:val="0"/>
          <w:color w:val="112548"/>
          <w:sz w:val="21"/>
        </w:rPr>
        <w:t>Buscar el texto actual: «el sistema no detecta solo las respuestas por correo ni por WhatsApp» (si el consolidado lo repite en la descripción de «Cuándo se detiene»).</w:t>
      </w:r>
    </w:p>
    <w:p>
      <w:pPr>
        <w:spacing w:after="80" w:before="0" w:line="264" w:lineRule="auto"/>
      </w:pPr>
      <w:r>
        <w:rPr>
          <w:rFonts w:ascii="Calibri" w:hAnsi="Calibri" w:eastAsia="Calibri"/>
          <w:b w:val="0"/>
          <w:i w:val="0"/>
          <w:color w:val="112548"/>
          <w:sz w:val="21"/>
        </w:rPr>
        <w:t>Reemplazar por: «el sistema no detecta solo las respuestas por correo. Las respuestas por WhatsApp sí se detectan (v1.42, ver §11): pausan la secuencia y mueven el negocio según se describe ahí.»</w:t>
      </w:r>
    </w:p>
    <w:p>
      <w:pPr>
        <w:keepNext/>
        <w:spacing w:after="80" w:before="240" w:line="264" w:lineRule="auto"/>
        <w:pBdr>
          <w:bottom w:val="single" w:sz="8" w:space="2" w:color="34B3DE"/>
        </w:pBdr>
      </w:pPr>
      <w:r>
        <w:rPr>
          <w:rFonts w:ascii="Calibri" w:hAnsi="Calibri" w:eastAsia="Calibri"/>
          <w:b/>
          <w:i w:val="0"/>
          <w:color w:val="112548"/>
          <w:sz w:val="26"/>
        </w:rPr>
        <w:t>3. §11 WhatsApp — subsección nueva</w:t>
      </w:r>
    </w:p>
    <w:p>
      <w:pPr>
        <w:spacing w:after="80" w:before="0" w:line="264" w:lineRule="auto"/>
      </w:pPr>
      <w:r>
        <w:rPr>
          <w:rFonts w:ascii="Calibri" w:hAnsi="Calibri" w:eastAsia="Calibri"/>
          <w:b w:val="0"/>
          <w:i w:val="0"/>
          <w:color w:val="112548"/>
          <w:sz w:val="21"/>
        </w:rPr>
        <w:t>Insertar después de la subsección que describe las respuestas de botones del seguimiento de cotización y la encuesta de causa de no cierre (14-09-2026):</w:t>
      </w:r>
    </w:p>
    <w:p>
      <w:pPr>
        <w:keepNext/>
        <w:spacing w:after="60" w:before="40" w:line="264" w:lineRule="auto"/>
        <w:pBdr>
          <w:left w:val="single" w:sz="18" w:space="8" w:color="34B3DE"/>
        </w:pBdr>
        <w:ind w:left="227"/>
      </w:pPr>
      <w:r>
        <w:rPr>
          <w:rFonts w:ascii="Calibri" w:hAnsi="Calibri" w:eastAsia="Calibri"/>
          <w:b/>
          <w:i w:val="0"/>
          <w:color w:val="112548"/>
          <w:sz w:val="22"/>
        </w:rPr>
        <w:t>Respuesta del cliente a un negocio en seguimiento (v1.42, 07-10-2026)</w:t>
      </w:r>
    </w:p>
    <w:p>
      <w:pPr>
        <w:spacing w:after="80" w:before="0" w:line="264" w:lineRule="auto"/>
        <w:pBdr>
          <w:left w:val="single" w:sz="18" w:space="8" w:color="34B3DE"/>
        </w:pBdr>
        <w:ind w:left="227"/>
      </w:pPr>
      <w:r>
        <w:rPr>
          <w:rFonts w:ascii="Calibri" w:hAnsi="Calibri" w:eastAsia="Calibri"/>
          <w:b w:val="0"/>
          <w:i w:val="0"/>
          <w:color w:val="112548"/>
          <w:sz w:val="21"/>
        </w:rPr>
        <w:t>Hasta la v1.40, solo el toque de un botón de la plantilla «Seguimiento de cotización» actuaba sobre el negocio. Una respuesta escrita a mano, o el botón de otra plantilla, quedaba solo en la Bandeja y la secuencia seguía enviando recordatorios.</w:t>
      </w:r>
    </w:p>
    <w:p>
      <w:pPr>
        <w:spacing w:after="80" w:before="0" w:line="264" w:lineRule="auto"/>
        <w:pBdr>
          <w:left w:val="single" w:sz="18" w:space="8" w:color="34B3DE"/>
        </w:pBdr>
        <w:ind w:left="227"/>
      </w:pPr>
      <w:r>
        <w:rPr>
          <w:rFonts w:ascii="Calibri" w:hAnsi="Calibri" w:eastAsia="Calibri"/>
          <w:b w:val="0"/>
          <w:i w:val="0"/>
          <w:color w:val="112548"/>
          <w:sz w:val="21"/>
        </w:rPr>
        <w:t xml:space="preserve">Desde la v1.42, todo mensaje entrante en la cuenta de Ventas de un contacto con negocios abiertos en la etapa Cotizado, o con una secuencia de seguimiento activa, se procesa así (servicio </w:t>
      </w:r>
      <w:r>
        <w:rPr>
          <w:rFonts w:ascii="Consolas" w:hAnsi="Consolas" w:eastAsia="Consolas"/>
          <w:b w:val="0"/>
          <w:i w:val="0"/>
          <w:color w:val="112548"/>
          <w:sz w:val="20"/>
        </w:rPr>
        <w:t>respuestaCliente.js</w:t>
      </w:r>
      <w:r>
        <w:rPr>
          <w:rFonts w:ascii="Calibri" w:hAnsi="Calibri" w:eastAsia="Calibri"/>
          <w:b w:val="0"/>
          <w:i w:val="0"/>
          <w:color w:val="112548"/>
          <w:sz w:val="21"/>
        </w:rPr>
        <w:t>). Se excluyen las reacciones con emoji y las solicitudes de eliminación de datos de la Ley 21.719, que revisa una persona:</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3515"/>
        <w:gridCol w:w="6123"/>
      </w:tblGrid>
      <w:tr>
        <w:tc>
          <w:tcPr>
            <w:tcW w:type="dxa" w:w="3515"/>
            <w:shd w:val="clear" w:color="auto" w:fill="112548"/>
          </w:tcPr>
          <w:p>
            <w:pPr>
              <w:spacing w:after="40"/>
            </w:pPr>
            <w:r>
              <w:rPr>
                <w:rFonts w:ascii="Calibri" w:hAnsi="Calibri" w:eastAsia="Calibri"/>
                <w:b/>
                <w:i w:val="0"/>
                <w:color w:val="FFFFFF"/>
                <w:sz w:val="19"/>
              </w:rPr>
              <w:t>Situación</w:t>
            </w:r>
          </w:p>
        </w:tc>
        <w:tc>
          <w:tcPr>
            <w:tcW w:type="dxa" w:w="6123"/>
            <w:shd w:val="clear" w:color="auto" w:fill="112548"/>
          </w:tcPr>
          <w:p>
            <w:pPr>
              <w:spacing w:after="40"/>
            </w:pPr>
            <w:r>
              <w:rPr>
                <w:rFonts w:ascii="Calibri" w:hAnsi="Calibri" w:eastAsia="Calibri"/>
                <w:b/>
                <w:i w:val="0"/>
                <w:color w:val="FFFFFF"/>
                <w:sz w:val="19"/>
              </w:rPr>
              <w:t>Resultado</w:t>
            </w:r>
          </w:p>
        </w:tc>
      </w:tr>
      <w:tr>
        <w:trPr>
          <w:cantSplit/>
        </w:trPr>
        <w:tc>
          <w:tcPr>
            <w:tcW w:type="dxa" w:w="3515"/>
          </w:tcPr>
          <w:p>
            <w:pPr>
              <w:spacing w:after="40"/>
            </w:pPr>
            <w:r>
              <w:rPr>
                <w:rFonts w:ascii="Calibri" w:hAnsi="Calibri" w:eastAsia="Calibri"/>
                <w:b w:val="0"/>
                <w:i w:val="0"/>
                <w:color w:val="112548"/>
                <w:sz w:val="19"/>
              </w:rPr>
              <w:t>Cualquier respuesta</w:t>
            </w:r>
          </w:p>
        </w:tc>
        <w:tc>
          <w:tcPr>
            <w:tcW w:type="dxa" w:w="6123"/>
          </w:tcPr>
          <w:p>
            <w:pPr>
              <w:spacing w:after="40"/>
            </w:pPr>
            <w:r>
              <w:rPr>
                <w:rFonts w:ascii="Calibri" w:hAnsi="Calibri" w:eastAsia="Calibri"/>
                <w:b w:val="0"/>
                <w:i w:val="0"/>
                <w:color w:val="112548"/>
                <w:sz w:val="19"/>
              </w:rPr>
              <w:t>Se pausa la secuencia activa del negocio, con el motivo «Cliente respondió».</w:t>
            </w:r>
          </w:p>
        </w:tc>
      </w:tr>
      <w:tr>
        <w:trPr>
          <w:cantSplit/>
        </w:trPr>
        <w:tc>
          <w:tcPr>
            <w:tcW w:type="dxa" w:w="3515"/>
          </w:tcPr>
          <w:p>
            <w:pPr>
              <w:spacing w:after="40"/>
            </w:pPr>
            <w:r>
              <w:rPr>
                <w:rFonts w:ascii="Calibri" w:hAnsi="Calibri" w:eastAsia="Calibri"/>
                <w:b w:val="0"/>
                <w:i w:val="0"/>
                <w:color w:val="112548"/>
                <w:sz w:val="19"/>
              </w:rPr>
              <w:t>Rechazo claro y un solo negocio en seguimiento</w:t>
            </w:r>
          </w:p>
        </w:tc>
        <w:tc>
          <w:tcPr>
            <w:tcW w:type="dxa" w:w="6123"/>
          </w:tcPr>
          <w:p>
            <w:pPr>
              <w:spacing w:after="40"/>
            </w:pPr>
            <w:r>
              <w:rPr>
                <w:rFonts w:ascii="Calibri" w:hAnsi="Calibri" w:eastAsia="Calibri"/>
                <w:b w:val="0"/>
                <w:i w:val="0"/>
                <w:color w:val="112548"/>
                <w:sz w:val="19"/>
              </w:rPr>
              <w:t>El negocio pasa a la etapa de pérdida y se envía la encuesta de causa de no cierre por WhatsApp, igual que con el botón «No realizaré la compra». El texto del cliente queda en el detalle de la causa.</w:t>
            </w:r>
          </w:p>
        </w:tc>
      </w:tr>
      <w:tr>
        <w:trPr>
          <w:cantSplit/>
        </w:trPr>
        <w:tc>
          <w:tcPr>
            <w:tcW w:type="dxa" w:w="3515"/>
          </w:tcPr>
          <w:p>
            <w:pPr>
              <w:spacing w:after="40"/>
            </w:pPr>
            <w:r>
              <w:rPr>
                <w:rFonts w:ascii="Calibri" w:hAnsi="Calibri" w:eastAsia="Calibri"/>
                <w:b w:val="0"/>
                <w:i w:val="0"/>
                <w:color w:val="112548"/>
                <w:sz w:val="19"/>
              </w:rPr>
              <w:t>Rechazo claro y varios negocios en seguimiento</w:t>
            </w:r>
          </w:p>
        </w:tc>
        <w:tc>
          <w:tcPr>
            <w:tcW w:type="dxa" w:w="6123"/>
          </w:tcPr>
          <w:p>
            <w:pPr>
              <w:spacing w:after="40"/>
            </w:pPr>
            <w:r>
              <w:rPr>
                <w:rFonts w:ascii="Calibri" w:hAnsi="Calibri" w:eastAsia="Calibri"/>
                <w:b w:val="0"/>
                <w:i w:val="0"/>
                <w:color w:val="112548"/>
                <w:sz w:val="19"/>
              </w:rPr>
              <w:t>No se mueve ninguno. Tarea al vendedor: «Rechazo del cliente por WhatsApp: elegir negocio».</w:t>
            </w:r>
          </w:p>
        </w:tc>
      </w:tr>
      <w:tr>
        <w:trPr>
          <w:cantSplit/>
        </w:trPr>
        <w:tc>
          <w:tcPr>
            <w:tcW w:type="dxa" w:w="3515"/>
          </w:tcPr>
          <w:p>
            <w:pPr>
              <w:spacing w:after="40"/>
            </w:pPr>
            <w:r>
              <w:rPr>
                <w:rFonts w:ascii="Calibri" w:hAnsi="Calibri" w:eastAsia="Calibri"/>
                <w:b w:val="0"/>
                <w:i w:val="0"/>
                <w:color w:val="112548"/>
                <w:sz w:val="19"/>
              </w:rPr>
              <w:t>Otra respuesta y un solo negocio en Cotizado</w:t>
            </w:r>
          </w:p>
        </w:tc>
        <w:tc>
          <w:tcPr>
            <w:tcW w:type="dxa" w:w="6123"/>
          </w:tcPr>
          <w:p>
            <w:pPr>
              <w:spacing w:after="40"/>
            </w:pPr>
            <w:r>
              <w:rPr>
                <w:rFonts w:ascii="Calibri" w:hAnsi="Calibri" w:eastAsia="Calibri"/>
                <w:b w:val="0"/>
                <w:i w:val="0"/>
                <w:color w:val="112548"/>
                <w:sz w:val="19"/>
              </w:rPr>
              <w:t>Pasa a Negociación, con el mismo efecto que mover la tarjeta a mano (historial, línea de tiempo y secuencias de la etapa).</w:t>
            </w:r>
          </w:p>
        </w:tc>
      </w:tr>
      <w:tr>
        <w:trPr>
          <w:cantSplit/>
        </w:trPr>
        <w:tc>
          <w:tcPr>
            <w:tcW w:type="dxa" w:w="3515"/>
          </w:tcPr>
          <w:p>
            <w:pPr>
              <w:spacing w:after="40"/>
            </w:pPr>
            <w:r>
              <w:rPr>
                <w:rFonts w:ascii="Calibri" w:hAnsi="Calibri" w:eastAsia="Calibri"/>
                <w:b w:val="0"/>
                <w:i w:val="0"/>
                <w:color w:val="112548"/>
                <w:sz w:val="19"/>
              </w:rPr>
              <w:t>Otra respuesta y varios negocios en Cotizado</w:t>
            </w:r>
          </w:p>
        </w:tc>
        <w:tc>
          <w:tcPr>
            <w:tcW w:type="dxa" w:w="6123"/>
          </w:tcPr>
          <w:p>
            <w:pPr>
              <w:spacing w:after="40"/>
            </w:pPr>
            <w:r>
              <w:rPr>
                <w:rFonts w:ascii="Calibri" w:hAnsi="Calibri" w:eastAsia="Calibri"/>
                <w:b w:val="0"/>
                <w:i w:val="0"/>
                <w:color w:val="112548"/>
                <w:sz w:val="19"/>
              </w:rPr>
              <w:t>No se mueve ninguno. Tarea al vendedor: «Cliente respondió por WhatsApp: elegir negocio».</w:t>
            </w:r>
          </w:p>
        </w:tc>
      </w:tr>
      <w:tr>
        <w:trPr>
          <w:cantSplit/>
        </w:trPr>
        <w:tc>
          <w:tcPr>
            <w:tcW w:type="dxa" w:w="3515"/>
          </w:tcPr>
          <w:p>
            <w:pPr>
              <w:spacing w:after="40"/>
            </w:pPr>
            <w:r>
              <w:rPr>
                <w:rFonts w:ascii="Calibri" w:hAnsi="Calibri" w:eastAsia="Calibri"/>
                <w:b w:val="0"/>
                <w:i w:val="0"/>
                <w:color w:val="112548"/>
                <w:sz w:val="19"/>
              </w:rPr>
              <w:t>El pipeline no tiene etapa «Negociación» activa</w:t>
            </w:r>
          </w:p>
        </w:tc>
        <w:tc>
          <w:tcPr>
            <w:tcW w:type="dxa" w:w="6123"/>
          </w:tcPr>
          <w:p>
            <w:pPr>
              <w:spacing w:after="40"/>
            </w:pPr>
            <w:r>
              <w:rPr>
                <w:rFonts w:ascii="Calibri" w:hAnsi="Calibri" w:eastAsia="Calibri"/>
                <w:b w:val="0"/>
                <w:i w:val="0"/>
                <w:color w:val="112548"/>
                <w:sz w:val="19"/>
              </w:rPr>
              <w:t>No se mueve. Tarea «Cliente respondió por WhatsApp».</w:t>
            </w:r>
          </w:p>
        </w:tc>
      </w:tr>
      <w:tr>
        <w:trPr>
          <w:cantSplit/>
        </w:trPr>
        <w:tc>
          <w:tcPr>
            <w:tcW w:type="dxa" w:w="3515"/>
          </w:tcPr>
          <w:p>
            <w:pPr>
              <w:spacing w:after="40"/>
            </w:pPr>
            <w:r>
              <w:rPr>
                <w:rFonts w:ascii="Calibri" w:hAnsi="Calibri" w:eastAsia="Calibri"/>
                <w:b w:val="0"/>
                <w:i w:val="0"/>
                <w:color w:val="112548"/>
                <w:sz w:val="19"/>
              </w:rPr>
              <w:t>El pipeline no tiene etapa de pérdida</w:t>
            </w:r>
          </w:p>
        </w:tc>
        <w:tc>
          <w:tcPr>
            <w:tcW w:type="dxa" w:w="6123"/>
          </w:tcPr>
          <w:p>
            <w:pPr>
              <w:spacing w:after="40"/>
            </w:pPr>
            <w:r>
              <w:rPr>
                <w:rFonts w:ascii="Calibri" w:hAnsi="Calibri" w:eastAsia="Calibri"/>
                <w:b w:val="0"/>
                <w:i w:val="0"/>
                <w:color w:val="112548"/>
                <w:sz w:val="19"/>
              </w:rPr>
              <w:t>No se mueve. Tarea «Rechazo del cliente por WhatsApp».</w:t>
            </w:r>
          </w:p>
        </w:tc>
      </w:tr>
    </w:tbl>
    <w:p>
      <w:pPr>
        <w:spacing w:after="40" w:before="0" w:line="264" w:lineRule="auto"/>
      </w:pPr>
    </w:p>
    <w:p>
      <w:pPr>
        <w:spacing w:after="80" w:before="0" w:line="264" w:lineRule="auto"/>
        <w:pBdr>
          <w:left w:val="single" w:sz="18" w:space="8" w:color="34B3DE"/>
        </w:pBdr>
        <w:ind w:left="227"/>
      </w:pPr>
      <w:r>
        <w:rPr>
          <w:rFonts w:ascii="Calibri" w:hAnsi="Calibri" w:eastAsia="Calibri"/>
          <w:b w:val="0"/>
          <w:i w:val="0"/>
          <w:color w:val="112548"/>
          <w:sz w:val="21"/>
        </w:rPr>
        <w:t>Cada acción queda en la línea de tiempo del negocio.</w:t>
      </w:r>
    </w:p>
    <w:p>
      <w:pPr>
        <w:spacing w:after="80" w:before="0" w:line="264" w:lineRule="auto"/>
        <w:pBdr>
          <w:left w:val="single" w:sz="18" w:space="8" w:color="34B3DE"/>
        </w:pBdr>
        <w:ind w:left="227"/>
      </w:pPr>
      <w:r>
        <w:rPr>
          <w:rFonts w:ascii="Calibri" w:hAnsi="Calibri" w:eastAsia="Calibri"/>
          <w:b w:val="0"/>
          <w:i w:val="0"/>
          <w:color w:val="112548"/>
          <w:sz w:val="21"/>
        </w:rPr>
        <w:t>La tarea se asigna al vendedor del negocio o, si no tiene, al del contacto. Si ninguno tiene vendedor, solo queda el evento en la línea de tiempo. No se repite una tarea pendiente igual para el mismo contacto y vendedor.</w:t>
      </w:r>
    </w:p>
    <w:p>
      <w:pPr>
        <w:spacing w:after="80" w:before="0" w:line="264" w:lineRule="auto"/>
        <w:pBdr>
          <w:left w:val="single" w:sz="18" w:space="8" w:color="34B3DE"/>
        </w:pBdr>
        <w:ind w:left="227"/>
      </w:pPr>
      <w:r>
        <w:rPr>
          <w:rFonts w:ascii="Calibri" w:hAnsi="Calibri" w:eastAsia="Calibri"/>
          <w:b w:val="0"/>
          <w:i w:val="0"/>
          <w:color w:val="112548"/>
          <w:sz w:val="21"/>
        </w:rPr>
        <w:t>Si la etapa Negociación tiene una secuencia propia, se activa al mover el negocio y queda pausada, porque el cliente acaba de responder. La secuencia pausada se reactiva desde la ficha del negocio, panel «Seguimiento».</w:t>
      </w:r>
    </w:p>
    <w:p>
      <w:pPr>
        <w:spacing w:after="80" w:before="0" w:line="264" w:lineRule="auto"/>
        <w:pBdr>
          <w:left w:val="single" w:sz="18" w:space="8" w:color="34B3DE"/>
        </w:pBdr>
        <w:ind w:left="227"/>
      </w:pPr>
      <w:r>
        <w:rPr>
          <w:rFonts w:ascii="Calibri" w:hAnsi="Calibri" w:eastAsia="Calibri"/>
          <w:b w:val="0"/>
          <w:i w:val="0"/>
          <w:color w:val="112548"/>
          <w:sz w:val="21"/>
        </w:rPr>
        <w:t>Los botones «No realizaré la compra» y «Necesito más información» de la plantilla «Seguimiento de cotización» mantienen su comportamiento y tienen prioridad.</w:t>
      </w:r>
    </w:p>
    <w:p>
      <w:pPr>
        <w:spacing w:after="80" w:before="0" w:line="264" w:lineRule="auto"/>
        <w:pBdr>
          <w:left w:val="single" w:sz="18" w:space="8" w:color="34B3DE"/>
        </w:pBdr>
        <w:ind w:left="227"/>
      </w:pPr>
      <w:r>
        <w:rPr>
          <w:rFonts w:ascii="Calibri" w:hAnsi="Calibri" w:eastAsia="Calibri"/>
          <w:b w:val="0"/>
          <w:i w:val="0"/>
          <w:color w:val="112548"/>
          <w:sz w:val="21"/>
        </w:rPr>
        <w:t>Un error en esta lógica no impide que el mensaje se registre en la Bandeja.</w:t>
      </w:r>
    </w:p>
    <w:p>
      <w:pPr>
        <w:keepNext/>
        <w:spacing w:after="60" w:before="40" w:line="264" w:lineRule="auto"/>
        <w:pBdr>
          <w:left w:val="single" w:sz="18" w:space="8" w:color="34B3DE"/>
        </w:pBdr>
        <w:ind w:left="227"/>
      </w:pPr>
      <w:r>
        <w:rPr>
          <w:rFonts w:ascii="Calibri" w:hAnsi="Calibri" w:eastAsia="Calibri"/>
          <w:b/>
          <w:i w:val="0"/>
          <w:color w:val="112548"/>
          <w:sz w:val="22"/>
        </w:rPr>
        <w:t>Detección de rechazo</w:t>
      </w:r>
    </w:p>
    <w:p>
      <w:pPr>
        <w:spacing w:after="80" w:before="0" w:line="264" w:lineRule="auto"/>
        <w:pBdr>
          <w:left w:val="single" w:sz="18" w:space="8" w:color="34B3DE"/>
        </w:pBdr>
        <w:ind w:left="227"/>
      </w:pPr>
      <w:r>
        <w:rPr>
          <w:rFonts w:ascii="Calibri" w:hAnsi="Calibri" w:eastAsia="Calibri"/>
          <w:b w:val="0"/>
          <w:i w:val="0"/>
          <w:color w:val="112548"/>
          <w:sz w:val="21"/>
        </w:rPr>
        <w:t>El sistema compara el texto, sin tildes ni mayúsculas, con una lista fija de frases, solo en mensajes de hasta 300 caracteres. Detecta, por ejemplo, «no realizaré la compra», «ya no me interesa», «decidimos no continuar», «ya compramos en otro lado», «desisto» y «no gracias». No detecta un «no» suelto ni dudas como «no sé si me llegó la cotización». No interpreta el sentido del mensaje.</w:t>
      </w:r>
    </w:p>
    <w:p>
      <w:pPr>
        <w:spacing w:after="80" w:before="0" w:line="264" w:lineRule="auto"/>
        <w:pBdr>
          <w:left w:val="single" w:sz="18" w:space="8" w:color="34B3DE"/>
        </w:pBdr>
        <w:ind w:left="227"/>
      </w:pPr>
      <w:r>
        <w:rPr>
          <w:rFonts w:ascii="Calibri" w:hAnsi="Calibri" w:eastAsia="Calibri"/>
          <w:b/>
          <w:i w:val="0"/>
          <w:color w:val="112548"/>
          <w:sz w:val="21"/>
        </w:rPr>
        <w:t>Decisión de Luis Devoto (07-10-2026):</w:t>
      </w:r>
      <w:r>
        <w:rPr>
          <w:rFonts w:ascii="Calibri" w:hAnsi="Calibri" w:eastAsia="Calibri"/>
          <w:b w:val="0"/>
          <w:i w:val="0"/>
          <w:color w:val="112548"/>
          <w:sz w:val="21"/>
        </w:rPr>
        <w:t xml:space="preserve"> un rechazo claro cierra el negocio sin confirmación humana. Riesgo aceptado: una frase que parezca rechazo sin serlo deja un negocio abierto en Perdido, y se corrige moviéndolo de vuelta a mano. Una frase de rechazo que no esté en la lista se trata como respuesta normal.</w:t>
      </w:r>
    </w:p>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4. §16 Pendientes abiertos — agregar</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val="0"/>
          <w:i w:val="0"/>
          <w:color w:val="112548"/>
          <w:sz w:val="21"/>
        </w:rPr>
        <w:t>Publicar el Manual de usuario HT-IN-05 con la hoja de actualización v09 (la v1.42 ya está en producción desde el 08-10-2026).</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val="0"/>
          <w:i w:val="0"/>
          <w:color w:val="112548"/>
          <w:sz w:val="21"/>
        </w:rPr>
        <w:t>Probar con un webhook real de Meta y con el botón real de la plantilla «Vencimiento de cotización»; esa plantilla no guarda correlación con el negocio, por lo que su botón se trata como respuesta normal.</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val="0"/>
          <w:i w:val="0"/>
          <w:color w:val="112548"/>
          <w:sz w:val="21"/>
        </w:rPr>
        <w:t>Evaluar guardar la correlación también para las plantillas «Vencimiento de cotización» y «Envío de cotización».</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val="0"/>
          <w:i w:val="0"/>
          <w:color w:val="112548"/>
          <w:sz w:val="21"/>
        </w:rPr>
        <w:t>Revisar tras las primeras semanas en producción si hay negocios cerrados por falsos positivos de la lista de frases de rechazo.</w:t>
      </w:r>
    </w:p>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5. §13 Modelo de datos — sin cambios</w:t>
      </w:r>
    </w:p>
    <w:p>
      <w:pPr>
        <w:spacing w:after="80" w:before="0" w:line="264" w:lineRule="auto"/>
      </w:pPr>
      <w:r>
        <w:rPr>
          <w:rFonts w:ascii="Calibri" w:hAnsi="Calibri" w:eastAsia="Calibri"/>
          <w:b w:val="0"/>
          <w:i w:val="0"/>
          <w:color w:val="112548"/>
          <w:sz w:val="21"/>
        </w:rPr>
        <w:t xml:space="preserve">La v1.42 no agrega tablas ni campos. Reutiliza </w:t>
      </w:r>
      <w:r>
        <w:rPr>
          <w:rFonts w:ascii="Consolas" w:hAnsi="Consolas" w:eastAsia="Consolas"/>
          <w:b w:val="0"/>
          <w:i w:val="0"/>
          <w:color w:val="112548"/>
          <w:sz w:val="20"/>
        </w:rPr>
        <w:t>negocio_secuencias</w:t>
      </w:r>
      <w:r>
        <w:rPr>
          <w:rFonts w:ascii="Calibri" w:hAnsi="Calibri" w:eastAsia="Calibri"/>
          <w:b w:val="0"/>
          <w:i w:val="0"/>
          <w:color w:val="112548"/>
          <w:sz w:val="21"/>
        </w:rPr>
        <w:t xml:space="preserve">, </w:t>
      </w:r>
      <w:r>
        <w:rPr>
          <w:rFonts w:ascii="Consolas" w:hAnsi="Consolas" w:eastAsia="Consolas"/>
          <w:b w:val="0"/>
          <w:i w:val="0"/>
          <w:color w:val="112548"/>
          <w:sz w:val="20"/>
        </w:rPr>
        <w:t>tareas</w:t>
      </w:r>
      <w:r>
        <w:rPr>
          <w:rFonts w:ascii="Calibri" w:hAnsi="Calibri" w:eastAsia="Calibri"/>
          <w:b w:val="0"/>
          <w:i w:val="0"/>
          <w:color w:val="112548"/>
          <w:sz w:val="21"/>
        </w:rPr>
        <w:t xml:space="preserve">, </w:t>
      </w:r>
      <w:r>
        <w:rPr>
          <w:rFonts w:ascii="Consolas" w:hAnsi="Consolas" w:eastAsia="Consolas"/>
          <w:b w:val="0"/>
          <w:i w:val="0"/>
          <w:color w:val="112548"/>
          <w:sz w:val="20"/>
        </w:rPr>
        <w:t>timeline</w:t>
      </w:r>
      <w:r>
        <w:rPr>
          <w:rFonts w:ascii="Calibri" w:hAnsi="Calibri" w:eastAsia="Calibri"/>
          <w:b w:val="0"/>
          <w:i w:val="0"/>
          <w:color w:val="112548"/>
          <w:sz w:val="21"/>
        </w:rPr>
        <w:t xml:space="preserve"> y </w:t>
      </w:r>
      <w:r>
        <w:rPr>
          <w:rFonts w:ascii="Consolas" w:hAnsi="Consolas" w:eastAsia="Consolas"/>
          <w:b w:val="0"/>
          <w:i w:val="0"/>
          <w:color w:val="112548"/>
          <w:sz w:val="20"/>
        </w:rPr>
        <w:t>whatsapp_encuesta_no_cierre</w:t>
      </w:r>
      <w:r>
        <w:rPr>
          <w:rFonts w:ascii="Calibri" w:hAnsi="Calibri" w:eastAsia="Calibri"/>
          <w:b w:val="0"/>
          <w:i w:val="0"/>
          <w:color w:val="112548"/>
          <w:sz w:val="21"/>
        </w:rPr>
        <w:t>.</w:t>
      </w:r>
    </w:p>
    <w:p>
      <w:pPr>
        <w:keepNext/>
        <w:spacing w:after="80" w:before="240" w:line="264" w:lineRule="auto"/>
        <w:pBdr>
          <w:bottom w:val="single" w:sz="8" w:space="2" w:color="34B3DE"/>
        </w:pBdr>
      </w:pPr>
      <w:r>
        <w:rPr>
          <w:rFonts w:ascii="Calibri" w:hAnsi="Calibri" w:eastAsia="Calibri"/>
          <w:b/>
          <w:i w:val="0"/>
          <w:color w:val="112548"/>
          <w:sz w:val="26"/>
        </w:rPr>
        <w:t>6. §17 Proceso de despliegue — referencia</w:t>
      </w:r>
    </w:p>
    <w:p>
      <w:pPr>
        <w:spacing w:after="80" w:before="0" w:line="264" w:lineRule="auto"/>
      </w:pPr>
      <w:r>
        <w:rPr>
          <w:rFonts w:ascii="Calibri" w:hAnsi="Calibri" w:eastAsia="Calibri"/>
          <w:b w:val="0"/>
          <w:i w:val="0"/>
          <w:color w:val="112548"/>
          <w:sz w:val="21"/>
        </w:rPr>
        <w:t xml:space="preserve">Archivos del cambio: </w:t>
      </w:r>
      <w:r>
        <w:rPr>
          <w:rFonts w:ascii="Consolas" w:hAnsi="Consolas" w:eastAsia="Consolas"/>
          <w:b w:val="0"/>
          <w:i w:val="0"/>
          <w:color w:val="112548"/>
          <w:sz w:val="20"/>
        </w:rPr>
        <w:t>backend/services/respuestaCliente.js</w:t>
      </w:r>
      <w:r>
        <w:rPr>
          <w:rFonts w:ascii="Calibri" w:hAnsi="Calibri" w:eastAsia="Calibri"/>
          <w:b w:val="0"/>
          <w:i w:val="0"/>
          <w:color w:val="112548"/>
          <w:sz w:val="21"/>
        </w:rPr>
        <w:t xml:space="preserve"> (nuevo), </w:t>
      </w:r>
      <w:r>
        <w:rPr>
          <w:rFonts w:ascii="Consolas" w:hAnsi="Consolas" w:eastAsia="Consolas"/>
          <w:b w:val="0"/>
          <w:i w:val="0"/>
          <w:color w:val="112548"/>
          <w:sz w:val="20"/>
        </w:rPr>
        <w:t>backend/services/seguimientoBoton.js</w:t>
      </w:r>
      <w:r>
        <w:rPr>
          <w:rFonts w:ascii="Calibri" w:hAnsi="Calibri" w:eastAsia="Calibri"/>
          <w:b w:val="0"/>
          <w:i w:val="0"/>
          <w:color w:val="112548"/>
          <w:sz w:val="21"/>
        </w:rPr>
        <w:t xml:space="preserve"> (función </w:t>
      </w:r>
      <w:r>
        <w:rPr>
          <w:rFonts w:ascii="Consolas" w:hAnsi="Consolas" w:eastAsia="Consolas"/>
          <w:b w:val="0"/>
          <w:i w:val="0"/>
          <w:color w:val="112548"/>
          <w:sz w:val="20"/>
        </w:rPr>
        <w:t>marcarPerdidoPorRechazo</w:t>
      </w:r>
      <w:r>
        <w:rPr>
          <w:rFonts w:ascii="Calibri" w:hAnsi="Calibri" w:eastAsia="Calibri"/>
          <w:b w:val="0"/>
          <w:i w:val="0"/>
          <w:color w:val="112548"/>
          <w:sz w:val="21"/>
        </w:rPr>
        <w:t xml:space="preserve"> extraída y exportada) y </w:t>
      </w:r>
      <w:r>
        <w:rPr>
          <w:rFonts w:ascii="Consolas" w:hAnsi="Consolas" w:eastAsia="Consolas"/>
          <w:b w:val="0"/>
          <w:i w:val="0"/>
          <w:color w:val="112548"/>
          <w:sz w:val="20"/>
        </w:rPr>
        <w:t>backend/routes/public.js</w:t>
      </w:r>
      <w:r>
        <w:rPr>
          <w:rFonts w:ascii="Calibri" w:hAnsi="Calibri" w:eastAsia="Calibri"/>
          <w:b w:val="0"/>
          <w:i w:val="0"/>
          <w:color w:val="112548"/>
          <w:sz w:val="21"/>
        </w:rPr>
        <w:t xml:space="preserve"> (llamada después del manejo de botones). Commits en staging: b8d4886 y fc2870e. Promovida a producción el 08-10-2026 (commit 11dcc9a en main), con la orden explícita de Luis Devoto.</w:t>
      </w:r>
    </w:p>
    <w:p>
      <w:pPr>
        <w:spacing w:after="80" w:before="0" w:line="264" w:lineRule="auto"/>
      </w:pPr>
      <w:r>
        <w:rPr>
          <w:rFonts w:ascii="Calibri" w:hAnsi="Calibri" w:eastAsia="Calibri"/>
          <w:b w:val="0"/>
          <w:i w:val="0"/>
          <w:color w:val="112548"/>
          <w:sz w:val="21"/>
        </w:rPr>
        <w:t xml:space="preserve">Registro de la prueba y de lo no probado: ver </w:t>
      </w:r>
      <w:r>
        <w:rPr>
          <w:rFonts w:ascii="Consolas" w:hAnsi="Consolas" w:eastAsia="Consolas"/>
          <w:b w:val="0"/>
          <w:i w:val="0"/>
          <w:color w:val="112548"/>
          <w:sz w:val="20"/>
        </w:rPr>
        <w:t>docs/HT-AP-03-nota-cambio-v1.42.md</w:t>
      </w:r>
      <w:r>
        <w:rPr>
          <w:rFonts w:ascii="Calibri" w:hAnsi="Calibri" w:eastAsia="Calibri"/>
          <w:b w:val="0"/>
          <w:i w:val="0"/>
          <w:color w:val="112548"/>
          <w:sz w:val="21"/>
        </w:rPr>
        <w:t>.</w:t>
      </w:r>
    </w:p>
    <w:sectPr w:rsidR="00FC693F" w:rsidRPr="0006063C" w:rsidSect="00034616">
      <w:headerReference w:type="default" r:id="rId9"/>
      <w:footerReference w:type="default" r:id="rId10"/>
      <w:pgSz w:w="12240" w:h="15840"/>
      <w:pgMar w:top="1361"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Uso interno  ·  Página </w:t>
    </w:r>
    <w:r>
      <w:rPr>
        <w:rFonts w:ascii="Calibri" w:hAnsi="Calibri" w:eastAsia="Calibri"/>
        <w:b w:val="0"/>
        <w:i w:val="0"/>
        <w:color w:val="555555"/>
        <w:sz w:val="18"/>
      </w:rPr>
      <w:fldChar w:fldCharType="begin"/>
    </w:r>
    <w:r>
      <w:rPr>
        <w:rFonts w:ascii="Calibri" w:hAnsi="Calibri" w:eastAsia="Calibri"/>
        <w:b w:val="0"/>
        <w:i w:val="0"/>
        <w:color w:val="555555"/>
        <w:sz w:val="18"/>
      </w:rPr>
      <w:instrText xml:space="preserve">PAGE</w:instrText>
    </w:r>
    <w:r>
      <w:rPr>
        <w:rFonts w:ascii="Calibri" w:hAnsi="Calibri" w:eastAsia="Calibri"/>
        <w:b w:val="0"/>
        <w:i w:val="0"/>
        <w:color w:val="555555"/>
        <w:sz w:val="18"/>
      </w:rPr>
      <w:fldChar w:fldCharType="separate"/>
    </w:r>
    <w:r>
      <w:rPr>
        <w:rFonts w:ascii="Calibri" w:hAnsi="Calibri" w:eastAsia="Calibri"/>
        <w:b w:val="0"/>
        <w:i w:val="0"/>
        <w:color w:val="555555"/>
        <w:sz w:val="18"/>
      </w:rPr>
      <w:t>1</w:t>
    </w:r>
    <w:r>
      <w:rPr>
        <w:rFonts w:ascii="Calibri" w:hAnsi="Calibri" w:eastAsia="Calibri"/>
        <w:b w:val="0"/>
        <w:i w:val="0"/>
        <w:color w:val="555555"/>
        <w:sz w:val="18"/>
      </w:rPr>
      <w:fldChar w:fldCharType="end"/>
    </w:r>
    <w:r>
      <w:rPr>
        <w:rFonts w:ascii="Calibri" w:hAnsi="Calibri" w:eastAsia="Calibri"/>
        <w:b w:val="0"/>
        <w:i w:val="0"/>
        <w:color w:val="555555"/>
        <w:sz w:val="18"/>
      </w:rPr>
      <w:t xml:space="preserve"> de </w:t>
    </w:r>
    <w:r>
      <w:rPr>
        <w:rFonts w:ascii="Calibri" w:hAnsi="Calibri" w:eastAsia="Calibri"/>
        <w:b w:val="0"/>
        <w:i w:val="0"/>
        <w:color w:val="555555"/>
        <w:sz w:val="18"/>
      </w:rPr>
      <w:fldChar w:fldCharType="begin"/>
    </w:r>
    <w:r>
      <w:rPr>
        <w:rFonts w:ascii="Calibri" w:hAnsi="Calibri" w:eastAsia="Calibri"/>
        <w:b w:val="0"/>
        <w:i w:val="0"/>
        <w:color w:val="555555"/>
        <w:sz w:val="18"/>
      </w:rPr>
      <w:instrText xml:space="preserve">NUMPAGES</w:instrText>
    </w:r>
    <w:r>
      <w:rPr>
        <w:rFonts w:ascii="Calibri" w:hAnsi="Calibri" w:eastAsia="Calibri"/>
        <w:b w:val="0"/>
        <w:i w:val="0"/>
        <w:color w:val="555555"/>
        <w:sz w:val="18"/>
      </w:rPr>
      <w:fldChar w:fldCharType="separate"/>
    </w:r>
    <w:r>
      <w:rPr>
        <w:rFonts w:ascii="Calibri" w:hAnsi="Calibri" w:eastAsia="Calibri"/>
        <w:b w:val="0"/>
        <w:i w:val="0"/>
        <w:color w:val="555555"/>
        <w:sz w:val="18"/>
      </w:rPr>
      <w:t>1</w:t>
    </w:r>
    <w:r>
      <w:rPr>
        <w:rFonts w:ascii="Calibri" w:hAnsi="Calibri" w:eastAsia="Calibri"/>
        <w:b w:val="0"/>
        <w:i w:val="0"/>
        <w:color w:val="55555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12548"/>
        <w:sz w:val="18"/>
      </w:rPr>
      <w:t>HT-AP-03 · Hoja de actualización v1.42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HT-AP-03 · Hoja de actualización v1.42</dc:title>
  <dc:subject>CRM Comercial Hidrotécnica — respuesta del cliente por WhatsApp</dc:subject>
  <dc:creator>Luis Devoto / Claude (IA)</dc:creator>
  <cp:keywords/>
  <dc:description>generated by python-docx</dc:description>
  <cp:lastModifiedBy/>
  <cp:revision>1</cp:revision>
  <dcterms:created xsi:type="dcterms:W3CDTF">2013-12-23T23:15:00Z</dcterms:created>
  <dcterms:modified xsi:type="dcterms:W3CDTF">2013-12-23T23:15:00Z</dcterms:modified>
  <cp:category/>
</cp:coreProperties>
</file>