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 w:line="264" w:lineRule="auto"/>
      </w:pPr>
      <w:r>
        <w:rPr>
          <w:rFonts w:ascii="Calibri" w:hAnsi="Calibri" w:eastAsia="Calibri"/>
          <w:b/>
          <w:i w:val="0"/>
          <w:color w:val="34B3DE"/>
          <w:sz w:val="24"/>
        </w:rPr>
        <w:t>HIDROTÉCNICA SpA</w:t>
      </w:r>
    </w:p>
    <w:p>
      <w:pPr>
        <w:spacing w:after="40" w:before="0" w:line="264" w:lineRule="auto"/>
      </w:pPr>
      <w:r>
        <w:rPr>
          <w:rFonts w:ascii="Calibri" w:hAnsi="Calibri" w:eastAsia="Calibri"/>
          <w:b/>
          <w:i w:val="0"/>
          <w:color w:val="112548"/>
          <w:sz w:val="44"/>
        </w:rPr>
        <w:t>HT-AP-03 · Hoja de actualización v1.43</w:t>
      </w:r>
    </w:p>
    <w:p>
      <w:pPr>
        <w:spacing w:after="20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6"/>
        </w:rPr>
        <w:t>CRM Comercial Hidrotécnica — importador de oportunidades: técnicos por nombre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4B3DE"/>
          <w:left w:val="single" w:sz="4" w:space="0" w:color="34B3DE"/>
          <w:bottom w:val="single" w:sz="4" w:space="0" w:color="34B3DE"/>
          <w:right w:val="single" w:sz="4" w:space="0" w:color="34B3DE"/>
          <w:insideH w:val="single" w:sz="4" w:space="0" w:color="34B3DE"/>
          <w:insideV w:val="single" w:sz="4" w:space="0" w:color="34B3DE"/>
        </w:tblBorders>
        <w:tblLayout w:type="fixed"/>
      </w:tblPr>
      <w:tblGrid>
        <w:gridCol w:w="2608"/>
        <w:gridCol w:w="7030"/>
      </w:tblGrid>
      <w:tr>
        <w:tc>
          <w:tcPr>
            <w:tcW w:type="dxa" w:w="2608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Dato</w:t>
            </w:r>
          </w:p>
        </w:tc>
        <w:tc>
          <w:tcPr>
            <w:tcW w:type="dxa" w:w="7030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Documento a actualizar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HT-AP-03 Documento Consolidado CRM Comercial Hidrotécnica, v1.40 (01-10-2026), con las hojas anteriores ya aplicadas en orden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Cambio que se incorpora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Nota de cambio v1.43 — Importador de oportunidades: técnicos por nombre, sin tildes y parcial (07-10-2026)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Estado del cambio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En producción desde el 08-10-2026 (rama main, commit 11dcc9a).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Clasificación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Uso interno</w:t>
            </w:r>
          </w:p>
        </w:tc>
      </w:tr>
    </w:tbl>
    <w:p>
      <w:pPr>
        <w:spacing w:after="40" w:before="0" w:line="264" w:lineRule="auto"/>
      </w:pPr>
    </w:p>
    <w:p>
      <w:pPr>
        <w:spacing w:after="160" w:before="0" w:line="264" w:lineRule="auto"/>
      </w:pPr>
      <w:r>
        <w:rPr>
          <w:rFonts w:ascii="Calibri" w:hAnsi="Calibri" w:eastAsia="Calibri"/>
          <w:b w:val="0"/>
          <w:i/>
          <w:color w:val="555555"/>
          <w:sz w:val="20"/>
        </w:rPr>
        <w:t>Este documento contiene solo el texto nuevo, con el lugar donde se inserta en el consolidado vigente (que ya lleva logo, encabezado y numeración). Aplicar las hojas en orden: v1.42, v1.43, v1.44, v1.45, v1.46 y v1.47. La nota de cambio v1.41 (integración con Mantenimiento) no está incluida: sigue solo en staging. Las frases a buscar se copian tal como están en el consolidado v1.40; si alguna no se encuentra, ubicar el párrafo por su título.</w:t>
      </w: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1. Control de versiones — fila nueva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Agregar al final de la tabla de control de versiones del consolidado y ajustar versión, fecha de vigencia y próxima revisión de la portada según la numeración que se asigne al consolidar: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4B3DE"/>
          <w:left w:val="single" w:sz="4" w:space="0" w:color="34B3DE"/>
          <w:bottom w:val="single" w:sz="4" w:space="0" w:color="34B3DE"/>
          <w:right w:val="single" w:sz="4" w:space="0" w:color="34B3DE"/>
          <w:insideH w:val="single" w:sz="4" w:space="0" w:color="34B3DE"/>
          <w:insideV w:val="single" w:sz="4" w:space="0" w:color="34B3DE"/>
        </w:tblBorders>
        <w:tblLayout w:type="fixed"/>
      </w:tblPr>
      <w:tblGrid>
        <w:gridCol w:w="1134"/>
        <w:gridCol w:w="1361"/>
        <w:gridCol w:w="5896"/>
        <w:gridCol w:w="1474"/>
      </w:tblGrid>
      <w:tr>
        <w:tc>
          <w:tcPr>
            <w:tcW w:type="dxa" w:w="1134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5896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Descripción del cambio</w:t>
            </w:r>
          </w:p>
        </w:tc>
        <w:tc>
          <w:tcPr>
            <w:tcW w:type="dxa" w:w="1474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Autor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v1.43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07-10-2026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Incorpora la nota de cambio v1.43: la columna «tecnicos» del importador de oportunidades acepta el nombre sin tildes y parcial (2 o más palabras). Detalle en §3.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Luis Devoto / Claude (IA)</w:t>
            </w:r>
          </w:p>
        </w:tc>
      </w:tr>
    </w:tbl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2. §3 Pipeline / Negocios — subsección nueva en el importador de oportunidades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Insertar a continuación del ítem «Importador CSV de oportunidades (v1.21)»:</w:t>
      </w:r>
    </w:p>
    <w:p>
      <w:pPr>
        <w:keepNext/>
        <w:spacing w:after="60" w:before="4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/>
          <w:i w:val="0"/>
          <w:color w:val="112548"/>
          <w:sz w:val="22"/>
        </w:rPr>
        <w:t>Columna «tecnicos» del importador (v1.43, 07-10-2026)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Antes la columna exigía el correo o el nombre completo exacto, con tildes (por ejemplo «Matías Andres Rojas Villalobos»). Los nombres largos se escribían mal y la fila se rechazaba. Desde la v1.43 el sistema compara contra los usuarios </w:t>
      </w:r>
      <w:r>
        <w:rPr>
          <w:rFonts w:ascii="Calibri" w:hAnsi="Calibri" w:eastAsia="Calibri"/>
          <w:b/>
          <w:i w:val="0"/>
          <w:color w:val="112548"/>
          <w:sz w:val="21"/>
        </w:rPr>
        <w:t>activos con perfil técnico</w:t>
      </w:r>
      <w:r>
        <w:rPr>
          <w:rFonts w:ascii="Calibri" w:hAnsi="Calibri" w:eastAsia="Calibri"/>
          <w:b w:val="0"/>
          <w:i w:val="0"/>
          <w:color w:val="112548"/>
          <w:sz w:val="21"/>
        </w:rPr>
        <w:t>, sin distinguir mayúsculas, tildes ni espacios repetidos (</w:t>
      </w:r>
      <w:r>
        <w:rPr>
          <w:rFonts w:ascii="Consolas" w:hAnsi="Consolas" w:eastAsia="Consolas"/>
          <w:b w:val="0"/>
          <w:i w:val="0"/>
          <w:color w:val="112548"/>
          <w:sz w:val="20"/>
        </w:rPr>
        <w:t>backend/utils/tecnicos.js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, usado por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routes/negocios.js</w:t>
      </w:r>
      <w:r>
        <w:rPr>
          <w:rFonts w:ascii="Calibri" w:hAnsi="Calibri" w:eastAsia="Calibri"/>
          <w:b w:val="0"/>
          <w:i w:val="0"/>
          <w:color w:val="112548"/>
          <w:sz w:val="21"/>
        </w:rPr>
        <w:t>):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Correo o nombre completo: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coincidencia exacta.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Nombre parcial de 2 o más palabras</w:t>
      </w:r>
      <w:r>
        <w:rPr>
          <w:rFonts w:ascii="Calibri" w:hAnsi="Calibri" w:eastAsia="Calibri"/>
          <w:b w:val="0"/>
          <w:i w:val="0"/>
          <w:color w:val="112548"/>
          <w:sz w:val="21"/>
        </w:rPr>
        <w:t>, si no hay coincidencia exacta: todas las palabras escritas deben ser palabras del nombre del usuario, en cualquier orden (</w:t>
      </w:r>
      <w:r>
        <w:rPr>
          <w:rFonts w:ascii="Consolas" w:hAnsi="Consolas" w:eastAsia="Consolas"/>
          <w:b w:val="0"/>
          <w:i w:val="0"/>
          <w:color w:val="112548"/>
          <w:sz w:val="20"/>
        </w:rPr>
        <w:t>Raul Ibarra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Matias Rojas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Palma Elvis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). Si coincide un solo usuario, se asigna. Si coincide más de uno, la fila se rechaza como </w:t>
      </w:r>
      <w:r>
        <w:rPr>
          <w:rFonts w:ascii="Calibri" w:hAnsi="Calibri" w:eastAsia="Calibri"/>
          <w:b/>
          <w:i w:val="0"/>
          <w:color w:val="112548"/>
          <w:sz w:val="21"/>
        </w:rPr>
        <w:t>«técnico ambiguo»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y no se asigna ninguno (hay que usar el nombre completo o el correo).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Una sola palabra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(</w:t>
      </w:r>
      <w:r>
        <w:rPr>
          <w:rFonts w:ascii="Consolas" w:hAnsi="Consolas" w:eastAsia="Consolas"/>
          <w:b w:val="0"/>
          <w:i w:val="0"/>
          <w:color w:val="112548"/>
          <w:sz w:val="20"/>
        </w:rPr>
        <w:t>Ibarra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Palma</w:t>
      </w:r>
      <w:r>
        <w:rPr>
          <w:rFonts w:ascii="Calibri" w:hAnsi="Calibri" w:eastAsia="Calibri"/>
          <w:b w:val="0"/>
          <w:i w:val="0"/>
          <w:color w:val="112548"/>
          <w:sz w:val="21"/>
        </w:rPr>
        <w:t>) nunca se acepta por parcial.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Un parcial puede calzar con una palabra que no es el nombre de pila: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Luis Lopez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calza con «Vicente Luis Lopez Barrera» si es el único. Ante la duda, usar el nombre completo o el correo. Si el CSV usa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;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como separador, la lista de varios técnicos va entre comillas: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"Matias Rojas;Raul Ibarra"</w:t>
      </w:r>
      <w:r>
        <w:rPr>
          <w:rFonts w:ascii="Calibri" w:hAnsi="Calibri" w:eastAsia="Calibri"/>
          <w:b w:val="0"/>
          <w:i w:val="0"/>
          <w:color w:val="112548"/>
          <w:sz w:val="21"/>
        </w:rPr>
        <w:t>. Sin cambios de schema ni migración (</w:t>
      </w:r>
      <w:r>
        <w:rPr>
          <w:rFonts w:ascii="Consolas" w:hAnsi="Consolas" w:eastAsia="Consolas"/>
          <w:b w:val="0"/>
          <w:i w:val="0"/>
          <w:color w:val="112548"/>
          <w:sz w:val="20"/>
        </w:rPr>
        <w:t>db.js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no se tocó).</w:t>
      </w:r>
    </w:p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3. Información de respaldo (no se inserta)</w:t>
      </w:r>
    </w:p>
    <w:p>
      <w:pPr>
        <w:spacing w:after="40" w:before="0" w:line="264" w:lineRule="auto"/>
        <w:ind w:left="454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Prueba con servidor real y Postgres, vista previa y confirmación con 7 filas: nombres sin tildes, parcial único, parcial con orden distinto, dos técnicos en una celda, parcial de una palabra (rechaza), nombre inexistente (rechaza) y apellidos de dos técnicos distintos (rechaza). Los técnicos asignados en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ot_tecnicos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coincidieron con lo esperado.</w:t>
      </w:r>
    </w:p>
    <w:p>
      <w:pPr>
        <w:spacing w:after="40" w:before="0" w:line="264" w:lineRule="auto"/>
        <w:ind w:left="454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olor w:val="112548"/>
          <w:sz w:val="21"/>
        </w:rPr>
        <w:t>El caso «ambiguo» se probó solo a nivel de la función (</w:t>
      </w:r>
      <w:r>
        <w:rPr>
          <w:rFonts w:ascii="Consolas" w:hAnsi="Consolas" w:eastAsia="Consolas"/>
          <w:b w:val="0"/>
          <w:i w:val="0"/>
          <w:color w:val="112548"/>
          <w:sz w:val="20"/>
        </w:rPr>
        <w:t>Luis Perez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entre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Luis Andres Perez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y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Luis Pablo Perez</w:t>
      </w:r>
      <w:r>
        <w:rPr>
          <w:rFonts w:ascii="Calibri" w:hAnsi="Calibri" w:eastAsia="Calibri"/>
          <w:b w:val="0"/>
          <w:i w:val="0"/>
          <w:color w:val="112548"/>
          <w:sz w:val="21"/>
        </w:rPr>
        <w:t>), no por el endpoint.</w:t>
      </w:r>
    </w:p>
    <w:p>
      <w:pPr>
        <w:spacing w:after="40" w:before="0" w:line="264" w:lineRule="auto"/>
        <w:ind w:left="454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Detalle: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docs/HT-AP-03-nota-cambio-v1.43.md</w:t>
      </w:r>
      <w:r>
        <w:rPr>
          <w:rFonts w:ascii="Calibri" w:hAnsi="Calibri" w:eastAsia="Calibri"/>
          <w:b w:val="0"/>
          <w:i w:val="0"/>
          <w:color w:val="112548"/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Uso interno  ·  Página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</w:r>
    <w:r>
      <w:rPr>
        <w:rFonts w:ascii="Calibri" w:hAnsi="Calibri" w:eastAsia="Calibri"/>
        <w:b w:val="0"/>
        <w:i w:val="0"/>
        <w:color w:val="555555"/>
        <w:sz w:val="18"/>
      </w:rPr>
      <w:instrText xml:space="preserve">PAGE</w:instrText>
    </w:r>
    <w:r>
      <w:rPr>
        <w:rFonts w:ascii="Calibri" w:hAnsi="Calibri" w:eastAsia="Calibri"/>
        <w:b w:val="0"/>
        <w:i w:val="0"/>
        <w:color w:val="555555"/>
        <w:sz w:val="18"/>
      </w:rPr>
      <w:fldChar w:fldCharType="separate"/>
    </w:r>
    <w:r>
      <w:rPr>
        <w:rFonts w:ascii="Calibri" w:hAnsi="Calibri" w:eastAsia="Calibri"/>
        <w:b w:val="0"/>
        <w:i w:val="0"/>
        <w:color w:val="555555"/>
        <w:sz w:val="18"/>
      </w:rPr>
      <w:t>1</w:t>
    </w:r>
    <w:r>
      <w:rPr>
        <w:rFonts w:ascii="Calibri" w:hAnsi="Calibri" w:eastAsia="Calibri"/>
        <w:b w:val="0"/>
        <w:i w:val="0"/>
        <w:color w:val="555555"/>
        <w:sz w:val="18"/>
      </w:rPr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de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</w:r>
    <w:r>
      <w:rPr>
        <w:rFonts w:ascii="Calibri" w:hAnsi="Calibri" w:eastAsia="Calibri"/>
        <w:b w:val="0"/>
        <w:i w:val="0"/>
        <w:color w:val="555555"/>
        <w:sz w:val="18"/>
      </w:rPr>
      <w:instrText xml:space="preserve">NUMPAGES</w:instrText>
    </w:r>
    <w:r>
      <w:rPr>
        <w:rFonts w:ascii="Calibri" w:hAnsi="Calibri" w:eastAsia="Calibri"/>
        <w:b w:val="0"/>
        <w:i w:val="0"/>
        <w:color w:val="555555"/>
        <w:sz w:val="18"/>
      </w:rPr>
      <w:fldChar w:fldCharType="separate"/>
    </w:r>
    <w:r>
      <w:rPr>
        <w:rFonts w:ascii="Calibri" w:hAnsi="Calibri" w:eastAsia="Calibri"/>
        <w:b w:val="0"/>
        <w:i w:val="0"/>
        <w:color w:val="555555"/>
        <w:sz w:val="18"/>
      </w:rPr>
      <w:t>1</w:t>
    </w:r>
    <w:r>
      <w:rPr>
        <w:rFonts w:ascii="Calibri" w:hAnsi="Calibri" w:eastAsia="Calibri"/>
        <w:b w:val="0"/>
        <w:i w:val="0"/>
        <w:color w:val="555555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112548"/>
        <w:sz w:val="18"/>
      </w:rPr>
      <w:t>HT-AP-03 · Hoja de actualización v1.43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HT-AP-03 · Hoja de actualización v1.43</dc:title>
  <dc:subject>CRM Comercial Hidrotécnica — importador de oportunidades: técnicos por nombre</dc:subject>
  <dc:creator>Luis Devoto / Claude (IA)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