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0" w:line="264" w:lineRule="auto"/>
      </w:pPr>
      <w:r>
        <w:rPr>
          <w:rFonts w:ascii="Calibri" w:hAnsi="Calibri" w:eastAsia="Calibri"/>
          <w:b/>
          <w:i w:val="0"/>
          <w:color w:val="34B3DE"/>
          <w:sz w:val="24"/>
        </w:rPr>
        <w:t>HIDROTÉCNICA SpA</w:t>
      </w:r>
    </w:p>
    <w:p>
      <w:pPr>
        <w:spacing w:after="40" w:before="0" w:line="264" w:lineRule="auto"/>
      </w:pPr>
      <w:r>
        <w:rPr>
          <w:rFonts w:ascii="Calibri" w:hAnsi="Calibri" w:eastAsia="Calibri"/>
          <w:b/>
          <w:i w:val="0"/>
          <w:color w:val="112548"/>
          <w:sz w:val="44"/>
        </w:rPr>
        <w:t>HT-IN-05 · Hoja de actualización v11</w:t>
      </w:r>
    </w:p>
    <w:p>
      <w:pPr>
        <w:spacing w:after="200" w:before="0" w:line="264" w:lineRule="auto"/>
      </w:pPr>
      <w:r>
        <w:rPr>
          <w:rFonts w:ascii="Calibri" w:hAnsi="Calibri" w:eastAsia="Calibri"/>
          <w:b w:val="0"/>
          <w:i w:val="0"/>
          <w:color w:val="112548"/>
          <w:sz w:val="26"/>
        </w:rPr>
        <w:t>Manual de usuario CRM Comercial Hidrotécnica — OT: alertas en vez de bloqueo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34B3DE"/>
          <w:left w:val="single" w:sz="4" w:space="0" w:color="34B3DE"/>
          <w:bottom w:val="single" w:sz="4" w:space="0" w:color="34B3DE"/>
          <w:right w:val="single" w:sz="4" w:space="0" w:color="34B3DE"/>
          <w:insideH w:val="single" w:sz="4" w:space="0" w:color="34B3DE"/>
          <w:insideV w:val="single" w:sz="4" w:space="0" w:color="34B3DE"/>
        </w:tblBorders>
        <w:tblLayout w:type="fixed"/>
      </w:tblPr>
      <w:tblGrid>
        <w:gridCol w:w="2608"/>
        <w:gridCol w:w="7030"/>
      </w:tblGrid>
      <w:tr>
        <w:tc>
          <w:tcPr>
            <w:tcW w:type="dxa" w:w="2608"/>
            <w:shd w:val="clear" w:color="auto" w:fill="11254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Dato</w:t>
            </w:r>
          </w:p>
        </w:tc>
        <w:tc>
          <w:tcPr>
            <w:tcW w:type="dxa" w:w="7030"/>
            <w:shd w:val="clear" w:color="auto" w:fill="11254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Detalle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Documento a actualizar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HT-IN-05 Manual de usuario CRM Comercial Hidrotécnica, v10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Versión nueva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11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Cambio que se incorpora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Orden de Trabajo: de bloquear a alertar (HT-AP-03, nota de cambio v1.44)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Estado del cambio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En producción desde el 08-10-2026 (rama main, commit 11dcc9a).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Clasificación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Uso interno</w:t>
            </w:r>
          </w:p>
        </w:tc>
      </w:tr>
    </w:tbl>
    <w:p>
      <w:pPr>
        <w:spacing w:after="40" w:before="0" w:line="264" w:lineRule="auto"/>
      </w:pPr>
    </w:p>
    <w:p>
      <w:pPr>
        <w:spacing w:after="160" w:before="0" w:line="264" w:lineRule="auto"/>
      </w:pPr>
      <w:r>
        <w:rPr>
          <w:rFonts w:ascii="Calibri" w:hAnsi="Calibri" w:eastAsia="Calibri"/>
          <w:b w:val="0"/>
          <w:i/>
          <w:color w:val="555555"/>
          <w:sz w:val="20"/>
        </w:rPr>
        <w:t>Contiene solo el texto nuevo y dónde insertarlo en el manual vigente (que ya lleva logo, encabezado y numeración). Ubicar cada texto por el título de la sección: la numeración puede diferir entre versiones del manual y no se verificó contra la v08. Las firmas de Elaborado, Revisado y Aprobado se completan en la portada del manual al emitir la versión. Se propone una versión del manual por cada hoja; si se prefiere, se pueden agrupar en una sola al publicar.</w:t>
      </w:r>
    </w:p>
    <w:p>
      <w:pPr>
        <w:keepNext/>
        <w:spacing w:after="80" w:before="240" w:line="264" w:lineRule="auto"/>
        <w:pBdr>
          <w:bottom w:val="single" w:sz="8" w:space="2" w:color="34B3DE"/>
        </w:pBdr>
      </w:pPr>
      <w:r>
        <w:rPr>
          <w:rFonts w:ascii="Calibri" w:hAnsi="Calibri" w:eastAsia="Calibri"/>
          <w:b/>
          <w:i w:val="0"/>
          <w:color w:val="112548"/>
          <w:sz w:val="26"/>
        </w:rPr>
        <w:t>1. Control de cambios — fila nueva</w:t>
      </w:r>
    </w:p>
    <w:p>
      <w:pPr>
        <w:spacing w:after="80" w:before="0" w:line="264" w:lineRule="auto"/>
      </w:pPr>
      <w:r>
        <w:rPr>
          <w:rFonts w:ascii="Calibri" w:hAnsi="Calibri" w:eastAsia="Calibri"/>
          <w:b w:val="0"/>
          <w:i w:val="0"/>
          <w:color w:val="112548"/>
          <w:sz w:val="21"/>
        </w:rPr>
        <w:t>Agregar al final de la tabla de control de cambios del manual: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34B3DE"/>
          <w:left w:val="single" w:sz="4" w:space="0" w:color="34B3DE"/>
          <w:bottom w:val="single" w:sz="4" w:space="0" w:color="34B3DE"/>
          <w:right w:val="single" w:sz="4" w:space="0" w:color="34B3DE"/>
          <w:insideH w:val="single" w:sz="4" w:space="0" w:color="34B3DE"/>
          <w:insideV w:val="single" w:sz="4" w:space="0" w:color="34B3DE"/>
        </w:tblBorders>
        <w:tblLayout w:type="fixed"/>
      </w:tblPr>
      <w:tblGrid>
        <w:gridCol w:w="1020"/>
        <w:gridCol w:w="1814"/>
        <w:gridCol w:w="1814"/>
        <w:gridCol w:w="4989"/>
      </w:tblGrid>
      <w:tr>
        <w:tc>
          <w:tcPr>
            <w:tcW w:type="dxa" w:w="1020"/>
            <w:shd w:val="clear" w:color="auto" w:fill="11254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N° Ver.</w:t>
            </w:r>
          </w:p>
        </w:tc>
        <w:tc>
          <w:tcPr>
            <w:tcW w:type="dxa" w:w="1814"/>
            <w:shd w:val="clear" w:color="auto" w:fill="11254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Fecha</w:t>
            </w:r>
          </w:p>
        </w:tc>
        <w:tc>
          <w:tcPr>
            <w:tcW w:type="dxa" w:w="1814"/>
            <w:shd w:val="clear" w:color="auto" w:fill="11254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Autor</w:t>
            </w:r>
          </w:p>
        </w:tc>
        <w:tc>
          <w:tcPr>
            <w:tcW w:type="dxa" w:w="4989"/>
            <w:shd w:val="clear" w:color="auto" w:fill="11254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Descripción del cambio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19"/>
              </w:rPr>
              <w:t>11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19"/>
              </w:rPr>
              <w:t>(fecha de publicación)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19"/>
              </w:rPr>
              <w:t>Luis Devoto / Claude (IA)</w:t>
            </w:r>
          </w:p>
        </w:tc>
        <w:tc>
          <w:tcPr>
            <w:tcW w:type="dxa" w:w="498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19"/>
              </w:rPr>
              <w:t>Mover un negocio de Operaciones a Programado o Ejecutado ya no se bloquea si faltan datos de la OT: queda una alerta en rojo y llega un correo diario a las 8:00. Solo bloquean el tipo de trabajo, la causa de no cierre y los datos mal escritos (módulos Pipeline, Orden de Trabajo y Reportes).</w:t>
            </w:r>
          </w:p>
        </w:tc>
      </w:tr>
    </w:tbl>
    <w:p>
      <w:pPr>
        <w:spacing w:after="40" w:before="0" w:line="264" w:lineRule="auto"/>
      </w:pPr>
    </w:p>
    <w:p>
      <w:pPr>
        <w:keepNext/>
        <w:spacing w:after="80" w:before="240" w:line="264" w:lineRule="auto"/>
        <w:pBdr>
          <w:bottom w:val="single" w:sz="8" w:space="2" w:color="34B3DE"/>
        </w:pBdr>
      </w:pPr>
      <w:r>
        <w:rPr>
          <w:rFonts w:ascii="Calibri" w:hAnsi="Calibri" w:eastAsia="Calibri"/>
          <w:b/>
          <w:i w:val="0"/>
          <w:color w:val="112548"/>
          <w:sz w:val="26"/>
        </w:rPr>
        <w:t>2. Módulo Pipeline — Operaciones: reemplazar la explicación de Programado y Ejecutado</w:t>
      </w:r>
    </w:p>
    <w:p>
      <w:pPr>
        <w:spacing w:after="80" w:before="0" w:line="264" w:lineRule="auto"/>
      </w:pPr>
      <w:r>
        <w:rPr>
          <w:rFonts w:ascii="Calibri" w:hAnsi="Calibri" w:eastAsia="Calibri"/>
          <w:b w:val="0"/>
          <w:i w:val="0"/>
          <w:color w:val="112548"/>
          <w:sz w:val="21"/>
        </w:rPr>
        <w:t>En la sección «Pipeline (negocios)», donde dice que para pasar a «Programado» o «Ejecutado» se exigen la fecha programada, las horas y los técnicos, reemplazar esa explicación por:</w:t>
      </w:r>
    </w:p>
    <w:p>
      <w:pPr>
        <w:keepNext/>
        <w:spacing w:after="60" w:before="40" w:line="264" w:lineRule="auto"/>
        <w:pBdr>
          <w:left w:val="single" w:sz="18" w:space="8" w:color="34B3DE"/>
        </w:pBdr>
        <w:ind w:left="227"/>
      </w:pPr>
      <w:r>
        <w:rPr>
          <w:rFonts w:ascii="Calibri" w:hAnsi="Calibri" w:eastAsia="Calibri"/>
          <w:b/>
          <w:i w:val="0"/>
          <w:color w:val="112548"/>
          <w:sz w:val="22"/>
        </w:rPr>
        <w:t>Mover a Programado o Ejecutado (v1.44)</w:t>
      </w:r>
    </w:p>
    <w:p>
      <w:pPr>
        <w:spacing w:after="80" w:before="0" w:line="264" w:lineRule="auto"/>
        <w:pBdr>
          <w:left w:val="single" w:sz="18" w:space="8" w:color="34B3DE"/>
        </w:pBdr>
        <w:ind w:left="227"/>
      </w:pP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Al mover una tarjeta de Operaciones a </w:t>
      </w:r>
      <w:r>
        <w:rPr>
          <w:rFonts w:ascii="Calibri" w:hAnsi="Calibri" w:eastAsia="Calibri"/>
          <w:b/>
          <w:i w:val="0"/>
          <w:color w:val="112548"/>
          <w:sz w:val="21"/>
        </w:rPr>
        <w:t>Programado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o </w:t>
      </w:r>
      <w:r>
        <w:rPr>
          <w:rFonts w:ascii="Calibri" w:hAnsi="Calibri" w:eastAsia="Calibri"/>
          <w:b/>
          <w:i w:val="0"/>
          <w:color w:val="112548"/>
          <w:sz w:val="21"/>
        </w:rPr>
        <w:t>Ejecutado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, el sistema pide los datos de la OT: fecha programada, horas programadas y técnicos; en Ejecutado, además, la fecha de ejecución y las horas ejecutadas. </w:t>
      </w:r>
      <w:r>
        <w:rPr>
          <w:rFonts w:ascii="Calibri" w:hAnsi="Calibri" w:eastAsia="Calibri"/>
          <w:b/>
          <w:i w:val="0"/>
          <w:color w:val="112548"/>
          <w:sz w:val="21"/>
        </w:rPr>
        <w:t>Ya no es obligatorio completarlos para mover la tarjeta.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Si falta algo, el cuadro muestra «Quedará pendiente: …» y el botón pasa a </w:t>
      </w:r>
      <w:r>
        <w:rPr>
          <w:rFonts w:ascii="Calibri" w:hAnsi="Calibri" w:eastAsia="Calibri"/>
          <w:b/>
          <w:i w:val="0"/>
          <w:color w:val="112548"/>
          <w:sz w:val="21"/>
        </w:rPr>
        <w:t>«Mover sin completar»</w:t>
      </w:r>
      <w:r>
        <w:rPr>
          <w:rFonts w:ascii="Calibri" w:hAnsi="Calibri" w:eastAsia="Calibri"/>
          <w:b w:val="0"/>
          <w:i w:val="0"/>
          <w:color w:val="112548"/>
          <w:sz w:val="21"/>
        </w:rPr>
        <w:t>.</w:t>
      </w:r>
    </w:p>
    <w:p>
      <w:pPr>
        <w:spacing w:after="40" w:before="0" w:line="264" w:lineRule="auto"/>
        <w:pBdr>
          <w:left w:val="single" w:sz="18" w:space="8" w:color="34B3DE"/>
        </w:pBdr>
        <w:ind w:left="510" w:hanging="227"/>
      </w:pPr>
      <w:r>
        <w:rPr>
          <w:rFonts w:ascii="Calibri" w:hAnsi="Calibri" w:eastAsia="Calibri"/>
          <w:b/>
          <w:i w:val="0"/>
          <w:color w:val="34B3DE"/>
          <w:sz w:val="21"/>
        </w:rPr>
        <w:t xml:space="preserve">•  </w:t>
      </w:r>
      <w:r>
        <w:rPr>
          <w:rFonts w:ascii="Calibri" w:hAnsi="Calibri" w:eastAsia="Calibri"/>
          <w:b/>
          <w:i w:val="0"/>
          <w:color w:val="112548"/>
          <w:sz w:val="21"/>
        </w:rPr>
        <w:t>Lo que sí sigue siendo obligatorio: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el </w:t>
      </w:r>
      <w:r>
        <w:rPr>
          <w:rFonts w:ascii="Calibri" w:hAnsi="Calibri" w:eastAsia="Calibri"/>
          <w:b/>
          <w:i w:val="0"/>
          <w:color w:val="112548"/>
          <w:sz w:val="21"/>
        </w:rPr>
        <w:t>tipo de trabajo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al pasar a Aceptado (o a Programado/Ejecutado si el negocio aún no tiene OT), porque sin él no se puede crear la OT; la </w:t>
      </w:r>
      <w:r>
        <w:rPr>
          <w:rFonts w:ascii="Calibri" w:hAnsi="Calibri" w:eastAsia="Calibri"/>
          <w:b/>
          <w:i w:val="0"/>
          <w:color w:val="112548"/>
          <w:sz w:val="21"/>
        </w:rPr>
        <w:t>causa de no cierre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al marcar Perdido; y que los datos estén bien escritos (horas mayores que 0, fecha válida, y que el técnico tenga perfil técnico).</w:t>
      </w:r>
    </w:p>
    <w:p>
      <w:pPr>
        <w:spacing w:after="40" w:before="0" w:line="264" w:lineRule="auto"/>
        <w:pBdr>
          <w:left w:val="single" w:sz="18" w:space="8" w:color="34B3DE"/>
        </w:pBdr>
        <w:ind w:left="510" w:hanging="227"/>
      </w:pPr>
      <w:r>
        <w:rPr>
          <w:rFonts w:ascii="Calibri" w:hAnsi="Calibri" w:eastAsia="Calibri"/>
          <w:b/>
          <w:i w:val="0"/>
          <w:color w:val="34B3DE"/>
          <w:sz w:val="21"/>
        </w:rPr>
        <w:t xml:space="preserve">•  </w:t>
      </w:r>
      <w:r>
        <w:rPr>
          <w:rFonts w:ascii="Calibri" w:hAnsi="Calibri" w:eastAsia="Calibri"/>
          <w:b/>
          <w:i w:val="0"/>
          <w:color w:val="112548"/>
          <w:sz w:val="21"/>
        </w:rPr>
        <w:t>Alerta en rojo: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lo que falta se ve en rojo en la tarjeta del Pipeline y en la ficha de la OT, con textos como «Sin fecha programada», «Sin horas programadas», «Sin técnicos», «Sin fecha de ejecución» o «Sin horas ejecutadas». Al completar el dato, la alerta desaparece sola.</w:t>
      </w:r>
    </w:p>
    <w:p>
      <w:pPr>
        <w:spacing w:after="40" w:before="0" w:line="264" w:lineRule="auto"/>
        <w:pBdr>
          <w:left w:val="single" w:sz="18" w:space="8" w:color="34B3DE"/>
        </w:pBdr>
        <w:ind w:left="510" w:hanging="227"/>
      </w:pPr>
      <w:r>
        <w:rPr>
          <w:rFonts w:ascii="Calibri" w:hAnsi="Calibri" w:eastAsia="Calibri"/>
          <w:b/>
          <w:i w:val="0"/>
          <w:color w:val="34B3DE"/>
          <w:sz w:val="21"/>
        </w:rPr>
        <w:t xml:space="preserve">•  </w:t>
      </w:r>
      <w:r>
        <w:rPr>
          <w:rFonts w:ascii="Calibri" w:hAnsi="Calibri" w:eastAsia="Calibri"/>
          <w:b/>
          <w:i w:val="0"/>
          <w:color w:val="112548"/>
          <w:sz w:val="21"/>
        </w:rPr>
        <w:t>Correo diario a las 8:00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(días hábiles), solo si hay pendientes: cada vendedor recibe las OT de sus negocios; el jefe comercial recibe todas, porque es quien carga las horas.</w:t>
      </w:r>
    </w:p>
    <w:p>
      <w:pPr>
        <w:spacing w:after="40" w:before="0" w:line="264" w:lineRule="auto"/>
        <w:pBdr>
          <w:left w:val="single" w:sz="18" w:space="8" w:color="34B3DE"/>
        </w:pBdr>
        <w:ind w:left="510" w:hanging="227"/>
      </w:pPr>
      <w:r>
        <w:rPr>
          <w:rFonts w:ascii="Calibri" w:hAnsi="Calibri" w:eastAsia="Calibri"/>
          <w:b/>
          <w:i w:val="0"/>
          <w:color w:val="34B3DE"/>
          <w:sz w:val="21"/>
        </w:rPr>
        <w:t xml:space="preserve">•  </w:t>
      </w:r>
      <w:r>
        <w:rPr>
          <w:rFonts w:ascii="Calibri" w:hAnsi="Calibri" w:eastAsia="Calibri"/>
          <w:b/>
          <w:i w:val="0"/>
          <w:color w:val="112548"/>
          <w:sz w:val="21"/>
        </w:rPr>
        <w:t>Las OT anteriores al 01-10-2026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(creadas antes de que existiera esta regla) no generan alerta.</w:t>
      </w:r>
    </w:p>
    <w:p>
      <w:pPr>
        <w:spacing w:after="40" w:before="0" w:line="264" w:lineRule="auto"/>
        <w:pBdr>
          <w:left w:val="single" w:sz="18" w:space="8" w:color="34B3DE"/>
        </w:pBdr>
        <w:ind w:left="510" w:hanging="227"/>
      </w:pPr>
      <w:r>
        <w:rPr>
          <w:rFonts w:ascii="Calibri" w:hAnsi="Calibri" w:eastAsia="Calibri"/>
          <w:b/>
          <w:i w:val="0"/>
          <w:color w:val="34B3DE"/>
          <w:sz w:val="21"/>
        </w:rPr>
        <w:t xml:space="preserve">•  </w:t>
      </w:r>
      <w:r>
        <w:rPr>
          <w:rFonts w:ascii="Calibri" w:hAnsi="Calibri" w:eastAsia="Calibri"/>
          <w:b/>
          <w:i w:val="0"/>
          <w:color w:val="112548"/>
          <w:sz w:val="21"/>
        </w:rPr>
        <w:t>Quién edita la OT: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el vendedor dueño del negocio, el jefe comercial y el administrador. El técnico la ve en solo lectura.</w:t>
      </w:r>
    </w:p>
    <w:p>
      <w:pPr>
        <w:spacing w:after="40" w:before="0" w:line="264" w:lineRule="auto"/>
      </w:pPr>
    </w:p>
    <w:p>
      <w:pPr>
        <w:keepNext/>
        <w:spacing w:after="80" w:before="240" w:line="264" w:lineRule="auto"/>
        <w:pBdr>
          <w:bottom w:val="single" w:sz="8" w:space="2" w:color="34B3DE"/>
        </w:pBdr>
      </w:pPr>
      <w:r>
        <w:rPr>
          <w:rFonts w:ascii="Calibri" w:hAnsi="Calibri" w:eastAsia="Calibri"/>
          <w:b/>
          <w:i w:val="0"/>
          <w:color w:val="112548"/>
          <w:sz w:val="26"/>
        </w:rPr>
        <w:t>3. Módulo Pipeline — importador de oportunidades</w:t>
      </w:r>
    </w:p>
    <w:p>
      <w:pPr>
        <w:spacing w:after="80" w:before="0" w:line="264" w:lineRule="auto"/>
        <w:pBdr>
          <w:left w:val="single" w:sz="18" w:space="8" w:color="34B3DE"/>
        </w:pBdr>
        <w:ind w:left="227"/>
      </w:pP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Si a una fila le faltan fechas, horas o técnicos, el importador </w:t>
      </w:r>
      <w:r>
        <w:rPr>
          <w:rFonts w:ascii="Calibri" w:hAnsi="Calibri" w:eastAsia="Calibri"/>
          <w:b/>
          <w:i w:val="0"/>
          <w:color w:val="112548"/>
          <w:sz w:val="21"/>
        </w:rPr>
        <w:t>la carga igual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y deja una advertencia. Las filas siguen rechazándose si no tienen tipo de trabajo o si traen datos mal escritos (por ejemplo, horas con formato «8:00»).</w:t>
      </w:r>
    </w:p>
    <w:p>
      <w:pPr>
        <w:spacing w:after="40" w:before="0" w:line="264" w:lineRule="auto"/>
      </w:pPr>
    </w:p>
    <w:p>
      <w:pPr>
        <w:keepNext/>
        <w:spacing w:after="80" w:before="240" w:line="264" w:lineRule="auto"/>
        <w:pBdr>
          <w:bottom w:val="single" w:sz="8" w:space="2" w:color="34B3DE"/>
        </w:pBdr>
      </w:pPr>
      <w:r>
        <w:rPr>
          <w:rFonts w:ascii="Calibri" w:hAnsi="Calibri" w:eastAsia="Calibri"/>
          <w:b/>
          <w:i w:val="0"/>
          <w:color w:val="112548"/>
          <w:sz w:val="26"/>
        </w:rPr>
        <w:t>4. Módulo Reportes — pestaña «OT's»</w:t>
      </w:r>
    </w:p>
    <w:p>
      <w:pPr>
        <w:spacing w:after="80" w:before="0" w:line="264" w:lineRule="auto"/>
      </w:pPr>
      <w:r>
        <w:rPr>
          <w:rFonts w:ascii="Calibri" w:hAnsi="Calibri" w:eastAsia="Calibri"/>
          <w:b w:val="0"/>
          <w:i w:val="0"/>
          <w:color w:val="112548"/>
          <w:sz w:val="21"/>
        </w:rPr>
        <w:t>Agregar al final de la descripción de la pestaña «OT's»:</w:t>
      </w:r>
    </w:p>
    <w:p>
      <w:pPr>
        <w:spacing w:after="80" w:before="0" w:line="264" w:lineRule="auto"/>
        <w:pBdr>
          <w:left w:val="single" w:sz="18" w:space="8" w:color="34B3DE"/>
        </w:pBdr>
        <w:ind w:left="227"/>
      </w:pPr>
      <w:r>
        <w:rPr>
          <w:rFonts w:ascii="Calibri" w:hAnsi="Calibri" w:eastAsia="Calibri"/>
          <w:b w:val="0"/>
          <w:i w:val="0"/>
          <w:color w:val="112548"/>
          <w:sz w:val="21"/>
        </w:rPr>
        <w:t>El reporte avisa en rojo cuántas OT tienen datos sin completar y cuántas OT ejecutadas del período suman 0 horas-hombre por falta de horas o de técnicos. Para corregirlo, completar el dato en la OT.</w:t>
      </w:r>
    </w:p>
    <w:p>
      <w:pPr>
        <w:spacing w:after="40" w:before="0" w:line="264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1" w:right="1247" w:bottom="1247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55555"/>
        <w:sz w:val="18"/>
      </w:rPr>
      <w:t xml:space="preserve">Uso interno  ·  Página </w:t>
    </w:r>
    <w:r>
      <w:rPr>
        <w:rFonts w:ascii="Calibri" w:hAnsi="Calibri" w:eastAsia="Calibri"/>
        <w:b w:val="0"/>
        <w:i w:val="0"/>
        <w:color w:val="555555"/>
        <w:sz w:val="18"/>
      </w:rPr>
      <w:fldChar w:fldCharType="begin"/>
    </w:r>
    <w:r>
      <w:rPr>
        <w:rFonts w:ascii="Calibri" w:hAnsi="Calibri" w:eastAsia="Calibri"/>
        <w:b w:val="0"/>
        <w:i w:val="0"/>
        <w:color w:val="555555"/>
        <w:sz w:val="18"/>
      </w:rPr>
      <w:instrText xml:space="preserve">PAGE</w:instrText>
    </w:r>
    <w:r>
      <w:rPr>
        <w:rFonts w:ascii="Calibri" w:hAnsi="Calibri" w:eastAsia="Calibri"/>
        <w:b w:val="0"/>
        <w:i w:val="0"/>
        <w:color w:val="555555"/>
        <w:sz w:val="18"/>
      </w:rPr>
      <w:fldChar w:fldCharType="separate"/>
    </w:r>
    <w:r>
      <w:rPr>
        <w:rFonts w:ascii="Calibri" w:hAnsi="Calibri" w:eastAsia="Calibri"/>
        <w:b w:val="0"/>
        <w:i w:val="0"/>
        <w:color w:val="555555"/>
        <w:sz w:val="18"/>
      </w:rPr>
      <w:t>1</w:t>
    </w:r>
    <w:r>
      <w:rPr>
        <w:rFonts w:ascii="Calibri" w:hAnsi="Calibri" w:eastAsia="Calibri"/>
        <w:b w:val="0"/>
        <w:i w:val="0"/>
        <w:color w:val="555555"/>
        <w:sz w:val="18"/>
      </w:rPr>
      <w:fldChar w:fldCharType="end"/>
    </w:r>
    <w:r>
      <w:rPr>
        <w:rFonts w:ascii="Calibri" w:hAnsi="Calibri" w:eastAsia="Calibri"/>
        <w:b w:val="0"/>
        <w:i w:val="0"/>
        <w:color w:val="555555"/>
        <w:sz w:val="18"/>
      </w:rPr>
      <w:t xml:space="preserve"> de </w:t>
    </w:r>
    <w:r>
      <w:rPr>
        <w:rFonts w:ascii="Calibri" w:hAnsi="Calibri" w:eastAsia="Calibri"/>
        <w:b w:val="0"/>
        <w:i w:val="0"/>
        <w:color w:val="555555"/>
        <w:sz w:val="18"/>
      </w:rPr>
      <w:fldChar w:fldCharType="begin"/>
    </w:r>
    <w:r>
      <w:rPr>
        <w:rFonts w:ascii="Calibri" w:hAnsi="Calibri" w:eastAsia="Calibri"/>
        <w:b w:val="0"/>
        <w:i w:val="0"/>
        <w:color w:val="555555"/>
        <w:sz w:val="18"/>
      </w:rPr>
      <w:instrText xml:space="preserve">NUMPAGES</w:instrText>
    </w:r>
    <w:r>
      <w:rPr>
        <w:rFonts w:ascii="Calibri" w:hAnsi="Calibri" w:eastAsia="Calibri"/>
        <w:b w:val="0"/>
        <w:i w:val="0"/>
        <w:color w:val="555555"/>
        <w:sz w:val="18"/>
      </w:rPr>
      <w:fldChar w:fldCharType="separate"/>
    </w:r>
    <w:r>
      <w:rPr>
        <w:rFonts w:ascii="Calibri" w:hAnsi="Calibri" w:eastAsia="Calibri"/>
        <w:b w:val="0"/>
        <w:i w:val="0"/>
        <w:color w:val="555555"/>
        <w:sz w:val="18"/>
      </w:rPr>
      <w:t>1</w:t>
    </w:r>
    <w:r>
      <w:rPr>
        <w:rFonts w:ascii="Calibri" w:hAnsi="Calibri" w:eastAsia="Calibri"/>
        <w:b w:val="0"/>
        <w:i w:val="0"/>
        <w:color w:val="555555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/>
        <w:i w:val="0"/>
        <w:color w:val="112548"/>
        <w:sz w:val="18"/>
      </w:rPr>
      <w:t>HT-IN-05 · Hoja de actualización v11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HT-IN-05 · Hoja de actualización v11</dc:title>
  <dc:subject>Manual de usuario CRM Comercial Hidrotécnica — OT: alertas en vez de bloqueo</dc:subject>
  <dc:creator>Luis Devoto / Claude (IA)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