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EC1AAB" w14:textId="135870ED" w:rsidR="00090C70" w:rsidRPr="00090C70" w:rsidRDefault="00090C70" w:rsidP="00090C7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n-GB"/>
        </w:rPr>
      </w:pPr>
      <w:r w:rsidRPr="00090C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Limpieza, Validación y Normalización de Datos (ETL)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n-GB"/>
        </w:rPr>
        <w:t>:</w:t>
      </w:r>
    </w:p>
    <w:p w14:paraId="027875CD" w14:textId="77777777" w:rsidR="00090C70" w:rsidRPr="00090C70" w:rsidRDefault="006D518D" w:rsidP="00090C70">
      <w:pPr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noProof/>
          <w:lang w:eastAsia="en-GB"/>
        </w:rPr>
        <w:pict w14:anchorId="2092770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24BF68A" w14:textId="77777777" w:rsidR="00090C70" w:rsidRPr="00090C70" w:rsidRDefault="00090C70" w:rsidP="00090C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90C7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Introducción y Objetivos</w:t>
      </w:r>
    </w:p>
    <w:p w14:paraId="173DE767" w14:textId="5278F754" w:rsidR="00090C70" w:rsidRPr="00090C70" w:rsidRDefault="00090C70" w:rsidP="00090C7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ES" w:eastAsia="en-GB"/>
        </w:rPr>
      </w:pPr>
      <w:r w:rsidRPr="00090C70">
        <w:rPr>
          <w:rFonts w:ascii="Times New Roman" w:eastAsia="Times New Roman" w:hAnsi="Times New Roman" w:cs="Times New Roman"/>
          <w:lang w:eastAsia="en-GB"/>
        </w:rPr>
        <w:t xml:space="preserve">Este documento detalla los procedimientos técnicos diseñados para la fase de limpieza y validación de datos dentro del pipeline ETL del proyecto </w:t>
      </w:r>
      <w:r w:rsidRPr="00090C70">
        <w:rPr>
          <w:rFonts w:ascii="Times New Roman" w:eastAsia="Times New Roman" w:hAnsi="Times New Roman" w:cs="Times New Roman"/>
          <w:i/>
          <w:iCs/>
          <w:lang w:eastAsia="en-GB"/>
        </w:rPr>
        <w:t>Green Turning Point</w:t>
      </w:r>
      <w:r w:rsidRPr="00090C70">
        <w:rPr>
          <w:rFonts w:ascii="Times New Roman" w:eastAsia="Times New Roman" w:hAnsi="Times New Roman" w:cs="Times New Roman"/>
          <w:lang w:eastAsia="en-GB"/>
        </w:rPr>
        <w:t>. El objetivo principal es transformar los datos brutos</w:t>
      </w:r>
      <w:r>
        <w:rPr>
          <w:rFonts w:ascii="Times New Roman" w:eastAsia="Times New Roman" w:hAnsi="Times New Roman" w:cs="Times New Roman"/>
          <w:lang w:val="es-ES" w:eastAsia="en-GB"/>
        </w:rPr>
        <w:t xml:space="preserve"> </w:t>
      </w:r>
      <w:r w:rsidRPr="00090C70">
        <w:rPr>
          <w:rFonts w:ascii="Times New Roman" w:eastAsia="Times New Roman" w:hAnsi="Times New Roman" w:cs="Times New Roman"/>
          <w:lang w:eastAsia="en-GB"/>
        </w:rPr>
        <w:t>provenientes de fuentes satelitales y repositorios estadísticos</w:t>
      </w:r>
      <w:r>
        <w:rPr>
          <w:rFonts w:ascii="Times New Roman" w:eastAsia="Times New Roman" w:hAnsi="Times New Roman" w:cs="Times New Roman"/>
          <w:lang w:val="es-ES" w:eastAsia="en-GB"/>
        </w:rPr>
        <w:t xml:space="preserve"> 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en </w:t>
      </w:r>
      <w:r>
        <w:rPr>
          <w:rFonts w:ascii="Times New Roman" w:eastAsia="Times New Roman" w:hAnsi="Times New Roman" w:cs="Times New Roman"/>
          <w:lang w:val="es-ES" w:eastAsia="en-GB"/>
        </w:rPr>
        <w:t xml:space="preserve">datos procesados 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estandarizados, coherentes y listos para alimentar los modelos de </w:t>
      </w:r>
      <w:r>
        <w:rPr>
          <w:rFonts w:ascii="Times New Roman" w:eastAsia="Times New Roman" w:hAnsi="Times New Roman" w:cs="Times New Roman"/>
          <w:lang w:val="es-ES" w:eastAsia="en-GB"/>
        </w:rPr>
        <w:t>Aprendizaje Automático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 y el </w:t>
      </w:r>
      <w:r w:rsidRPr="00090C70">
        <w:rPr>
          <w:rFonts w:ascii="Times New Roman" w:eastAsia="Times New Roman" w:hAnsi="Times New Roman" w:cs="Times New Roman"/>
          <w:i/>
          <w:iCs/>
          <w:lang w:eastAsia="en-GB"/>
        </w:rPr>
        <w:t>Operational Data Store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 (ODS)</w:t>
      </w:r>
      <w:r>
        <w:rPr>
          <w:rFonts w:ascii="Times New Roman" w:eastAsia="Times New Roman" w:hAnsi="Times New Roman" w:cs="Times New Roman"/>
          <w:lang w:val="es-ES" w:eastAsia="en-GB"/>
        </w:rPr>
        <w:t>.</w:t>
      </w:r>
    </w:p>
    <w:p w14:paraId="3CE307AD" w14:textId="77777777" w:rsidR="00090C70" w:rsidRPr="00090C70" w:rsidRDefault="00090C70" w:rsidP="00090C7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lang w:eastAsia="en-GB"/>
        </w:rPr>
        <w:t>Los objetivos específicos de esta fase son:</w:t>
      </w:r>
    </w:p>
    <w:p w14:paraId="6CAA4698" w14:textId="77777777" w:rsidR="00090C70" w:rsidRPr="00090C70" w:rsidRDefault="00090C70" w:rsidP="00090C7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b/>
          <w:bCs/>
          <w:lang w:eastAsia="en-GB"/>
        </w:rPr>
        <w:t>Preservación de Metadatos: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 Garantizar que la conversión de formatos de imagen no conlleve la pérdida de georreferenciación.</w:t>
      </w:r>
    </w:p>
    <w:p w14:paraId="5B6331C0" w14:textId="77777777" w:rsidR="00090C70" w:rsidRPr="00090C70" w:rsidRDefault="00090C70" w:rsidP="00090C7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b/>
          <w:bCs/>
          <w:lang w:eastAsia="en-GB"/>
        </w:rPr>
        <w:t>Homogeneización: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 Estandarizar unidades, formatos de fecha y códigos geográficos (ISO) entre distintas fuentes (Eurostat, OECD, INE).</w:t>
      </w:r>
    </w:p>
    <w:p w14:paraId="07786866" w14:textId="77777777" w:rsidR="00090C70" w:rsidRPr="00090C70" w:rsidRDefault="00090C70" w:rsidP="00090C7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b/>
          <w:bCs/>
          <w:lang w:eastAsia="en-GB"/>
        </w:rPr>
        <w:t>Validación: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 Detectar y gestionar valores nulos, duplicados y outliers estadísticos.</w:t>
      </w:r>
    </w:p>
    <w:p w14:paraId="3149B5C5" w14:textId="77777777" w:rsidR="00090C70" w:rsidRPr="00090C70" w:rsidRDefault="006D518D" w:rsidP="00090C70">
      <w:pPr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noProof/>
          <w:lang w:eastAsia="en-GB"/>
        </w:rPr>
        <w:pict w14:anchorId="2DEC7D4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3CF208D" w14:textId="77777777" w:rsidR="00090C70" w:rsidRPr="00090C70" w:rsidRDefault="00090C70" w:rsidP="00090C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90C7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Metodología de Procesamiento Geoespacial (Sentinel-2 &amp; HRL)</w:t>
      </w:r>
    </w:p>
    <w:p w14:paraId="6C20C731" w14:textId="2FC422B5" w:rsidR="00090C70" w:rsidRPr="00090C70" w:rsidRDefault="00090C70" w:rsidP="00090C7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ES" w:eastAsia="en-GB"/>
        </w:rPr>
      </w:pPr>
      <w:r w:rsidRPr="00090C70">
        <w:rPr>
          <w:rFonts w:ascii="Times New Roman" w:eastAsia="Times New Roman" w:hAnsi="Times New Roman" w:cs="Times New Roman"/>
          <w:lang w:eastAsia="en-GB"/>
        </w:rPr>
        <w:t xml:space="preserve">Dado que los modelos de visión artificial requieren formatos de imagen ligeros (PNG) que nativamente no soportan georreferenciación compleja, se ha diseñado un flujo de trabajo </w:t>
      </w:r>
      <w:r>
        <w:rPr>
          <w:rFonts w:ascii="Times New Roman" w:eastAsia="Times New Roman" w:hAnsi="Times New Roman" w:cs="Times New Roman"/>
          <w:lang w:val="es-ES" w:eastAsia="en-GB"/>
        </w:rPr>
        <w:t>para almacenar los metadatos de los mismos mediante un sistema de diccionario previo al cambio de formato de imagen.</w:t>
      </w:r>
    </w:p>
    <w:p w14:paraId="40869A50" w14:textId="5481987D" w:rsidR="00090C70" w:rsidRPr="00090C70" w:rsidRDefault="00090C70" w:rsidP="00090C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90C7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2.1. Flujo de Trabajo de Imágenes (Script </w:t>
      </w:r>
      <w:r>
        <w:rPr>
          <w:rFonts w:ascii="Courier New" w:eastAsia="Times New Roman" w:hAnsi="Courier New" w:cs="Courier New"/>
          <w:b/>
          <w:bCs/>
          <w:sz w:val="20"/>
          <w:szCs w:val="20"/>
          <w:lang w:val="es-ES" w:eastAsia="en-GB"/>
        </w:rPr>
        <w:t>limpieza</w:t>
      </w:r>
      <w:r w:rsidRPr="00090C70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.</w:t>
      </w:r>
      <w:r>
        <w:rPr>
          <w:rFonts w:ascii="Courier New" w:eastAsia="Times New Roman" w:hAnsi="Courier New" w:cs="Courier New"/>
          <w:b/>
          <w:bCs/>
          <w:sz w:val="20"/>
          <w:szCs w:val="20"/>
          <w:lang w:val="es-ES" w:eastAsia="en-GB"/>
        </w:rPr>
        <w:t>i</w:t>
      </w:r>
      <w:r w:rsidRPr="00090C70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py</w:t>
      </w:r>
      <w:proofErr w:type="spellStart"/>
      <w:r>
        <w:rPr>
          <w:rFonts w:ascii="Courier New" w:eastAsia="Times New Roman" w:hAnsi="Courier New" w:cs="Courier New"/>
          <w:b/>
          <w:bCs/>
          <w:sz w:val="20"/>
          <w:szCs w:val="20"/>
          <w:lang w:val="es-ES" w:eastAsia="en-GB"/>
        </w:rPr>
        <w:t>nb</w:t>
      </w:r>
      <w:proofErr w:type="spellEnd"/>
      <w:r w:rsidRPr="00090C7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p w14:paraId="06DABE1E" w14:textId="77777777" w:rsidR="00090C70" w:rsidRPr="00090C70" w:rsidRDefault="00090C70" w:rsidP="00090C7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lang w:eastAsia="en-GB"/>
        </w:rPr>
        <w:t xml:space="preserve">El proceso se ejecuta tras la descarga de los archivos </w:t>
      </w:r>
      <w:r w:rsidRPr="00090C70">
        <w:rPr>
          <w:rFonts w:ascii="Courier New" w:eastAsia="Times New Roman" w:hAnsi="Courier New" w:cs="Courier New"/>
          <w:sz w:val="20"/>
          <w:szCs w:val="20"/>
          <w:lang w:eastAsia="en-GB"/>
        </w:rPr>
        <w:t>.jp2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 (JPEG 2000) originales.</w:t>
      </w:r>
    </w:p>
    <w:p w14:paraId="10BC2A37" w14:textId="77777777" w:rsidR="00090C70" w:rsidRPr="00090C70" w:rsidRDefault="00090C70" w:rsidP="00090C7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b/>
          <w:bCs/>
          <w:lang w:eastAsia="en-GB"/>
        </w:rPr>
        <w:t>Lectura de Metadatos (Raw):</w:t>
      </w:r>
    </w:p>
    <w:p w14:paraId="1DAC44FE" w14:textId="77777777" w:rsidR="00090C70" w:rsidRPr="00090C70" w:rsidRDefault="00090C70" w:rsidP="00090C70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lang w:eastAsia="en-GB"/>
        </w:rPr>
        <w:t xml:space="preserve">Se utiliza la librería </w:t>
      </w:r>
      <w:r w:rsidRPr="00090C70">
        <w:rPr>
          <w:rFonts w:ascii="Courier New" w:eastAsia="Times New Roman" w:hAnsi="Courier New" w:cs="Courier New"/>
          <w:sz w:val="20"/>
          <w:szCs w:val="20"/>
          <w:lang w:eastAsia="en-GB"/>
        </w:rPr>
        <w:t>rasterio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 para leer el archivo </w:t>
      </w:r>
      <w:r w:rsidRPr="00090C70">
        <w:rPr>
          <w:rFonts w:ascii="Courier New" w:eastAsia="Times New Roman" w:hAnsi="Courier New" w:cs="Courier New"/>
          <w:sz w:val="20"/>
          <w:szCs w:val="20"/>
          <w:lang w:eastAsia="en-GB"/>
        </w:rPr>
        <w:t>.jp2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 original.</w:t>
      </w:r>
    </w:p>
    <w:p w14:paraId="74DF82E9" w14:textId="77777777" w:rsidR="00090C70" w:rsidRPr="00090C70" w:rsidRDefault="00090C70" w:rsidP="00090C70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lang w:eastAsia="en-GB"/>
        </w:rPr>
        <w:t xml:space="preserve">Se extraen el sistema de referencia de coordenadas (CRS), la matriz de transformación afín y el </w:t>
      </w:r>
      <w:r w:rsidRPr="00090C70">
        <w:rPr>
          <w:rFonts w:ascii="Times New Roman" w:eastAsia="Times New Roman" w:hAnsi="Times New Roman" w:cs="Times New Roman"/>
          <w:i/>
          <w:iCs/>
          <w:lang w:eastAsia="en-GB"/>
        </w:rPr>
        <w:t>Bounding Box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 (xmin, ymin, xmax, ymax).</w:t>
      </w:r>
    </w:p>
    <w:p w14:paraId="3DAE1F27" w14:textId="77777777" w:rsidR="00090C70" w:rsidRPr="00090C70" w:rsidRDefault="00090C70" w:rsidP="00090C7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b/>
          <w:bCs/>
          <w:lang w:eastAsia="en-GB"/>
        </w:rPr>
        <w:t>Indexación Espacial:</w:t>
      </w:r>
    </w:p>
    <w:p w14:paraId="5BEDF468" w14:textId="77777777" w:rsidR="00090C70" w:rsidRPr="00090C70" w:rsidRDefault="00090C70" w:rsidP="00090C70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lang w:eastAsia="en-GB"/>
        </w:rPr>
        <w:t xml:space="preserve">Antes de cualquier conversión, se genera un registro en el </w:t>
      </w:r>
      <w:r w:rsidRPr="00090C70">
        <w:rPr>
          <w:rFonts w:ascii="Times New Roman" w:eastAsia="Times New Roman" w:hAnsi="Times New Roman" w:cs="Times New Roman"/>
          <w:b/>
          <w:bCs/>
          <w:lang w:eastAsia="en-GB"/>
        </w:rPr>
        <w:t>Índice Maestro Geoespacial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 (</w:t>
      </w:r>
      <w:r w:rsidRPr="00090C70">
        <w:rPr>
          <w:rFonts w:ascii="Courier New" w:eastAsia="Times New Roman" w:hAnsi="Courier New" w:cs="Courier New"/>
          <w:sz w:val="20"/>
          <w:szCs w:val="20"/>
          <w:lang w:eastAsia="en-GB"/>
        </w:rPr>
        <w:t>geo_index_master.csv</w:t>
      </w:r>
      <w:r w:rsidRPr="00090C70">
        <w:rPr>
          <w:rFonts w:ascii="Times New Roman" w:eastAsia="Times New Roman" w:hAnsi="Times New Roman" w:cs="Times New Roman"/>
          <w:lang w:eastAsia="en-GB"/>
        </w:rPr>
        <w:t>).</w:t>
      </w:r>
    </w:p>
    <w:p w14:paraId="52C6206F" w14:textId="77777777" w:rsidR="00090C70" w:rsidRPr="00090C70" w:rsidRDefault="00090C70" w:rsidP="00090C70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lang w:eastAsia="en-GB"/>
        </w:rPr>
        <w:t>Este índice vincula el ID único de la imagen procesada (</w:t>
      </w:r>
      <w:r w:rsidRPr="00090C70">
        <w:rPr>
          <w:rFonts w:ascii="Courier New" w:eastAsia="Times New Roman" w:hAnsi="Courier New" w:cs="Courier New"/>
          <w:sz w:val="20"/>
          <w:szCs w:val="20"/>
          <w:lang w:eastAsia="en-GB"/>
        </w:rPr>
        <w:t>filename.png</w:t>
      </w:r>
      <w:r w:rsidRPr="00090C70">
        <w:rPr>
          <w:rFonts w:ascii="Times New Roman" w:eastAsia="Times New Roman" w:hAnsi="Times New Roman" w:cs="Times New Roman"/>
          <w:lang w:eastAsia="en-GB"/>
        </w:rPr>
        <w:t>) con sus coordenadas geográficas reales.</w:t>
      </w:r>
    </w:p>
    <w:p w14:paraId="15D71652" w14:textId="77777777" w:rsidR="00090C70" w:rsidRPr="00090C70" w:rsidRDefault="00090C70" w:rsidP="00090C7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b/>
          <w:bCs/>
          <w:lang w:eastAsia="en-GB"/>
        </w:rPr>
        <w:t>Conversión y Normalización:</w:t>
      </w:r>
    </w:p>
    <w:p w14:paraId="77801304" w14:textId="77777777" w:rsidR="00090C70" w:rsidRPr="00090C70" w:rsidRDefault="00090C70" w:rsidP="00090C70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Normalización Radiométrica: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 Los valores de reflectancia de Sentinel-2 (</w:t>
      </w:r>
      <w:r w:rsidRPr="00090C70">
        <w:rPr>
          <w:rFonts w:ascii="Courier New" w:eastAsia="Times New Roman" w:hAnsi="Courier New" w:cs="Courier New"/>
          <w:sz w:val="20"/>
          <w:szCs w:val="20"/>
          <w:lang w:eastAsia="en-GB"/>
        </w:rPr>
        <w:t>uint16</w:t>
      </w:r>
      <w:r w:rsidRPr="00090C70">
        <w:rPr>
          <w:rFonts w:ascii="Times New Roman" w:eastAsia="Times New Roman" w:hAnsi="Times New Roman" w:cs="Times New Roman"/>
          <w:lang w:eastAsia="en-GB"/>
        </w:rPr>
        <w:t>, rango 0-10000+) se escalan y recortan (</w:t>
      </w:r>
      <w:r w:rsidRPr="00090C70">
        <w:rPr>
          <w:rFonts w:ascii="Times New Roman" w:eastAsia="Times New Roman" w:hAnsi="Times New Roman" w:cs="Times New Roman"/>
          <w:i/>
          <w:iCs/>
          <w:lang w:eastAsia="en-GB"/>
        </w:rPr>
        <w:t>clipping</w:t>
      </w:r>
      <w:r w:rsidRPr="00090C70">
        <w:rPr>
          <w:rFonts w:ascii="Times New Roman" w:eastAsia="Times New Roman" w:hAnsi="Times New Roman" w:cs="Times New Roman"/>
          <w:lang w:eastAsia="en-GB"/>
        </w:rPr>
        <w:t>) al rango visual estándar (</w:t>
      </w:r>
      <w:r w:rsidRPr="00090C70">
        <w:rPr>
          <w:rFonts w:ascii="Courier New" w:eastAsia="Times New Roman" w:hAnsi="Courier New" w:cs="Courier New"/>
          <w:sz w:val="20"/>
          <w:szCs w:val="20"/>
          <w:lang w:eastAsia="en-GB"/>
        </w:rPr>
        <w:t>uint8</w:t>
      </w:r>
      <w:r w:rsidRPr="00090C70">
        <w:rPr>
          <w:rFonts w:ascii="Times New Roman" w:eastAsia="Times New Roman" w:hAnsi="Times New Roman" w:cs="Times New Roman"/>
          <w:lang w:eastAsia="en-GB"/>
        </w:rPr>
        <w:t>, 0-255) para maximizar el contraste sin perder información crítica.</w:t>
      </w:r>
    </w:p>
    <w:p w14:paraId="07666862" w14:textId="77777777" w:rsidR="00090C70" w:rsidRPr="00090C70" w:rsidRDefault="00090C70" w:rsidP="00090C70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b/>
          <w:bCs/>
          <w:lang w:eastAsia="en-GB"/>
        </w:rPr>
        <w:t>Generación de PNG: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 Se exporta la matriz de píxeles resultante a formato PNG optimizado para entrenamiento de redes neuronales.</w:t>
      </w:r>
    </w:p>
    <w:p w14:paraId="7EBF28AD" w14:textId="77777777" w:rsidR="00090C70" w:rsidRPr="00090C70" w:rsidRDefault="00090C70" w:rsidP="00090C7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b/>
          <w:bCs/>
          <w:lang w:eastAsia="en-GB"/>
        </w:rPr>
        <w:t>Validación de Calidad:</w:t>
      </w:r>
    </w:p>
    <w:p w14:paraId="06887414" w14:textId="77777777" w:rsidR="00090C70" w:rsidRPr="00090C70" w:rsidRDefault="00090C70" w:rsidP="00090C70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lang w:eastAsia="en-GB"/>
        </w:rPr>
        <w:t>Se descartan imágenes con un porcentaje de píxeles vacíos (NoData) superior al umbral definido.</w:t>
      </w:r>
    </w:p>
    <w:p w14:paraId="3BD9E73A" w14:textId="77777777" w:rsidR="00090C70" w:rsidRPr="00090C70" w:rsidRDefault="00090C70" w:rsidP="00090C70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lang w:eastAsia="en-GB"/>
        </w:rPr>
        <w:t>Se consulta la máscara de clasificación de escena (SCL) para filtrar imágenes con excesiva cobertura de nubes si la máscara está disponible.</w:t>
      </w:r>
    </w:p>
    <w:p w14:paraId="31886C3F" w14:textId="77777777" w:rsidR="00090C70" w:rsidRPr="00090C70" w:rsidRDefault="006D518D" w:rsidP="00090C70">
      <w:pPr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noProof/>
          <w:lang w:eastAsia="en-GB"/>
        </w:rPr>
        <w:pict w14:anchorId="648F64F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9AD6E00" w14:textId="77777777" w:rsidR="00090C70" w:rsidRPr="00090C70" w:rsidRDefault="00090C70" w:rsidP="00090C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90C7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Metodología de Procesamiento Tabular (Eurostat, OECD, INE)</w:t>
      </w:r>
    </w:p>
    <w:p w14:paraId="6D61C9EB" w14:textId="77777777" w:rsidR="00090C70" w:rsidRPr="00090C70" w:rsidRDefault="00090C70" w:rsidP="00090C7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lang w:eastAsia="en-GB"/>
        </w:rPr>
        <w:t>Las fuentes estadísticas presentan heterogeneidad en la codificación de países y formatos temporales.</w:t>
      </w:r>
    </w:p>
    <w:p w14:paraId="5B8C26FE" w14:textId="77777777" w:rsidR="00090C70" w:rsidRPr="00090C70" w:rsidRDefault="00090C70" w:rsidP="00090C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90C7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3.1. Estandarización de Entidades</w:t>
      </w:r>
    </w:p>
    <w:p w14:paraId="2AC0CA66" w14:textId="77777777" w:rsidR="00090C70" w:rsidRPr="00090C70" w:rsidRDefault="00090C70" w:rsidP="00090C7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b/>
          <w:bCs/>
          <w:lang w:eastAsia="en-GB"/>
        </w:rPr>
        <w:t>Códigos Geográficos: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 Se implementa un diccionario de mapeo para convertir nomenclaturas específicas (ej. Eurostat usa </w:t>
      </w:r>
      <w:r w:rsidRPr="00090C70">
        <w:rPr>
          <w:rFonts w:ascii="Courier New" w:eastAsia="Times New Roman" w:hAnsi="Courier New" w:cs="Courier New"/>
          <w:sz w:val="20"/>
          <w:szCs w:val="20"/>
          <w:lang w:eastAsia="en-GB"/>
        </w:rPr>
        <w:t>EL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 para Grecia) al estándar internacional </w:t>
      </w:r>
      <w:r w:rsidRPr="00090C70">
        <w:rPr>
          <w:rFonts w:ascii="Times New Roman" w:eastAsia="Times New Roman" w:hAnsi="Times New Roman" w:cs="Times New Roman"/>
          <w:b/>
          <w:bCs/>
          <w:lang w:eastAsia="en-GB"/>
        </w:rPr>
        <w:t>ISO 3166-1 alpha-2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 (</w:t>
      </w:r>
      <w:r w:rsidRPr="00090C70">
        <w:rPr>
          <w:rFonts w:ascii="Courier New" w:eastAsia="Times New Roman" w:hAnsi="Courier New" w:cs="Courier New"/>
          <w:sz w:val="20"/>
          <w:szCs w:val="20"/>
          <w:lang w:eastAsia="en-GB"/>
        </w:rPr>
        <w:t>GR</w:t>
      </w:r>
      <w:r w:rsidRPr="00090C70">
        <w:rPr>
          <w:rFonts w:ascii="Times New Roman" w:eastAsia="Times New Roman" w:hAnsi="Times New Roman" w:cs="Times New Roman"/>
          <w:lang w:eastAsia="en-GB"/>
        </w:rPr>
        <w:t>).</w:t>
      </w:r>
    </w:p>
    <w:p w14:paraId="412162A7" w14:textId="77777777" w:rsidR="00090C70" w:rsidRPr="00090C70" w:rsidRDefault="00090C70" w:rsidP="00090C7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b/>
          <w:bCs/>
          <w:lang w:eastAsia="en-GB"/>
        </w:rPr>
        <w:t>Alineación Regional: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 Validación de códigos NUTS-2 y NUTS-3 frente a la lista maestra de regiones objetivo.</w:t>
      </w:r>
    </w:p>
    <w:p w14:paraId="38D271F7" w14:textId="77777777" w:rsidR="00090C70" w:rsidRPr="00090C70" w:rsidRDefault="00090C70" w:rsidP="00090C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90C7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3.2. Tratamiento Temporal y Nulos</w:t>
      </w:r>
    </w:p>
    <w:p w14:paraId="7C6AEDA3" w14:textId="77777777" w:rsidR="00090C70" w:rsidRPr="00090C70" w:rsidRDefault="00090C70" w:rsidP="00090C7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b/>
          <w:bCs/>
          <w:lang w:eastAsia="en-GB"/>
        </w:rPr>
        <w:t>Fechas: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 Conversión de formatos trimestrales (ej. </w:t>
      </w:r>
      <w:r w:rsidRPr="00090C70">
        <w:rPr>
          <w:rFonts w:ascii="Courier New" w:eastAsia="Times New Roman" w:hAnsi="Courier New" w:cs="Courier New"/>
          <w:sz w:val="20"/>
          <w:szCs w:val="20"/>
          <w:lang w:eastAsia="en-GB"/>
        </w:rPr>
        <w:t>2023-Q1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) o cadenas de texto a objetos </w:t>
      </w:r>
      <w:r w:rsidRPr="00090C70">
        <w:rPr>
          <w:rFonts w:ascii="Courier New" w:eastAsia="Times New Roman" w:hAnsi="Courier New" w:cs="Courier New"/>
          <w:sz w:val="20"/>
          <w:szCs w:val="20"/>
          <w:lang w:eastAsia="en-GB"/>
        </w:rPr>
        <w:t>datetime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 estandarizados (frecuencia anual).</w:t>
      </w:r>
    </w:p>
    <w:p w14:paraId="2D2B8F69" w14:textId="77777777" w:rsidR="00090C70" w:rsidRPr="00090C70" w:rsidRDefault="00090C70" w:rsidP="00090C7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b/>
          <w:bCs/>
          <w:lang w:eastAsia="en-GB"/>
        </w:rPr>
        <w:t>Gestión de Outliers: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 Detección de variaciones interanuales anómalas (ej. crecimiento del PIB &gt; 20% fuera de periodos de rebote post-crisis) marcándolas para revisión manual o exclusión.</w:t>
      </w:r>
    </w:p>
    <w:p w14:paraId="7B297918" w14:textId="51564BDF" w:rsidR="00090C70" w:rsidRDefault="00090C70" w:rsidP="00090C7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b/>
          <w:bCs/>
          <w:lang w:eastAsia="en-GB"/>
        </w:rPr>
        <w:t>Interpolación: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 Para series temporales con huecos menores (faltante de 1 año intermedio), se aplica interpolación lineal. Los huecos al inicio o final de la serie no se extrapolan.</w:t>
      </w:r>
    </w:p>
    <w:p w14:paraId="1D767CCD" w14:textId="6DAD813E" w:rsidR="00DE04FD" w:rsidRDefault="00DE04FD" w:rsidP="00DE04FD">
      <w:pPr>
        <w:pStyle w:val="Heading3"/>
      </w:pPr>
      <w:r>
        <w:t>3.3. Procesamiento por Tipo de Archivo (CSV)</w:t>
      </w:r>
    </w:p>
    <w:p w14:paraId="659E9432" w14:textId="77777777" w:rsidR="00DE04FD" w:rsidRDefault="00DE04FD" w:rsidP="00DE04FD">
      <w:pPr>
        <w:pStyle w:val="NormalWeb"/>
      </w:pPr>
      <w:r>
        <w:t>Para garantizar la máxima calidad del dato, el script de limpieza (</w:t>
      </w:r>
      <w:r>
        <w:rPr>
          <w:rStyle w:val="HTMLCode"/>
        </w:rPr>
        <w:t>clean_and_validate.py</w:t>
      </w:r>
      <w:r>
        <w:t xml:space="preserve">) aplica lógicas diferenciadas según la naturaleza del archivo CSV detectado en la carpeta </w:t>
      </w:r>
      <w:r>
        <w:rPr>
          <w:rStyle w:val="HTMLCode"/>
        </w:rPr>
        <w:t>raw</w:t>
      </w:r>
      <w:r>
        <w:t>:</w:t>
      </w:r>
    </w:p>
    <w:p w14:paraId="0FA82632" w14:textId="77777777" w:rsidR="00DE04FD" w:rsidRPr="00DE04FD" w:rsidRDefault="00DE04FD" w:rsidP="00DE04FD">
      <w:r w:rsidRPr="00DE04FD">
        <w:t>A. Tipo 1: Estadísticas Macroeconómicas Multidimensionales (Eurostat, OECD)</w:t>
      </w:r>
    </w:p>
    <w:p w14:paraId="40CE1272" w14:textId="77777777" w:rsidR="00DE04FD" w:rsidRDefault="00DE04FD" w:rsidP="00DE04FD">
      <w:pPr>
        <w:pStyle w:val="NormalWeb"/>
      </w:pPr>
      <w:r>
        <w:rPr>
          <w:i/>
          <w:iCs/>
        </w:rPr>
        <w:t>Archivos identificados:</w:t>
      </w:r>
      <w:r>
        <w:t xml:space="preserve"> </w:t>
      </w:r>
      <w:r>
        <w:rPr>
          <w:rStyle w:val="HTMLCode"/>
        </w:rPr>
        <w:t>gdp_per_capita.csv</w:t>
      </w:r>
      <w:r>
        <w:t xml:space="preserve">, </w:t>
      </w:r>
      <w:r>
        <w:rPr>
          <w:rStyle w:val="HTMLCode"/>
        </w:rPr>
        <w:t>ghg_emissions.csv</w:t>
      </w:r>
      <w:r>
        <w:t xml:space="preserve">, </w:t>
      </w:r>
      <w:r>
        <w:rPr>
          <w:rStyle w:val="HTMLCode"/>
        </w:rPr>
        <w:t>env_tax.csv</w:t>
      </w:r>
      <w:r>
        <w:t>, etc.</w:t>
      </w:r>
    </w:p>
    <w:p w14:paraId="3CA687CA" w14:textId="77777777" w:rsidR="00DE04FD" w:rsidRDefault="00DE04FD" w:rsidP="00DE04FD">
      <w:pPr>
        <w:pStyle w:val="NormalWeb"/>
        <w:numPr>
          <w:ilvl w:val="0"/>
          <w:numId w:val="12"/>
        </w:numPr>
      </w:pPr>
      <w:r>
        <w:rPr>
          <w:b/>
          <w:bCs/>
        </w:rPr>
        <w:lastRenderedPageBreak/>
        <w:t>Normalización de Entidades Geográficas:</w:t>
      </w:r>
      <w:r>
        <w:t xml:space="preserve"> Se aplica un diccionario de mapeo estricto para convertir códigos propietarios (ej. Eurostat </w:t>
      </w:r>
      <w:r>
        <w:rPr>
          <w:rStyle w:val="HTMLCode"/>
        </w:rPr>
        <w:t>EL</w:t>
      </w:r>
      <w:r>
        <w:t xml:space="preserve">, </w:t>
      </w:r>
      <w:r>
        <w:rPr>
          <w:rStyle w:val="HTMLCode"/>
        </w:rPr>
        <w:t>UK</w:t>
      </w:r>
      <w:r>
        <w:t xml:space="preserve">) al estándar </w:t>
      </w:r>
      <w:r>
        <w:rPr>
          <w:b/>
          <w:bCs/>
        </w:rPr>
        <w:t>ISO 3166-1 alpha-2</w:t>
      </w:r>
      <w:r>
        <w:t xml:space="preserve"> (</w:t>
      </w:r>
      <w:r>
        <w:rPr>
          <w:rStyle w:val="HTMLCode"/>
        </w:rPr>
        <w:t>GR</w:t>
      </w:r>
      <w:r>
        <w:t xml:space="preserve">, </w:t>
      </w:r>
      <w:r>
        <w:rPr>
          <w:rStyle w:val="HTMLCode"/>
        </w:rPr>
        <w:t>GB</w:t>
      </w:r>
      <w:r>
        <w:t>). Esto permite el cruce directo entre tablas de distintas fuentes.</w:t>
      </w:r>
    </w:p>
    <w:p w14:paraId="5BB42B32" w14:textId="77777777" w:rsidR="00DE04FD" w:rsidRDefault="00DE04FD" w:rsidP="00DE04FD">
      <w:pPr>
        <w:pStyle w:val="NormalWeb"/>
        <w:numPr>
          <w:ilvl w:val="0"/>
          <w:numId w:val="12"/>
        </w:numPr>
      </w:pPr>
      <w:r>
        <w:rPr>
          <w:b/>
          <w:bCs/>
        </w:rPr>
        <w:t>Estandarización Temporal:</w:t>
      </w:r>
      <w:r>
        <w:t xml:space="preserve"> Unificación de formatos de fecha heterogéneos. Los formatos trimestrales (</w:t>
      </w:r>
      <w:r>
        <w:rPr>
          <w:rStyle w:val="HTMLCode"/>
        </w:rPr>
        <w:t>2023-Q1</w:t>
      </w:r>
      <w:r>
        <w:t xml:space="preserve">) o mensuales se transforman a objetos </w:t>
      </w:r>
      <w:r>
        <w:rPr>
          <w:rStyle w:val="HTMLCode"/>
        </w:rPr>
        <w:t>datetime</w:t>
      </w:r>
      <w:r>
        <w:t xml:space="preserve"> anuales o periodos estandarizados para permitir agregaciones temporales coherentes.</w:t>
      </w:r>
    </w:p>
    <w:p w14:paraId="29E9FCB3" w14:textId="77777777" w:rsidR="00DE04FD" w:rsidRDefault="00DE04FD" w:rsidP="00DE04FD">
      <w:pPr>
        <w:pStyle w:val="NormalWeb"/>
        <w:numPr>
          <w:ilvl w:val="0"/>
          <w:numId w:val="12"/>
        </w:numPr>
      </w:pPr>
      <w:r>
        <w:rPr>
          <w:b/>
          <w:bCs/>
        </w:rPr>
        <w:t>Gestión de Flags:</w:t>
      </w:r>
      <w:r>
        <w:t xml:space="preserve"> Eliminación de columnas de metadatos de calidad ("flags" de Eurostat como </w:t>
      </w:r>
      <w:r>
        <w:rPr>
          <w:rStyle w:val="HTMLCode"/>
        </w:rPr>
        <w:t>b</w:t>
      </w:r>
      <w:r>
        <w:t xml:space="preserve">, </w:t>
      </w:r>
      <w:r>
        <w:rPr>
          <w:rStyle w:val="HTMLCode"/>
        </w:rPr>
        <w:t>u</w:t>
      </w:r>
      <w:r>
        <w:t xml:space="preserve">, </w:t>
      </w:r>
      <w:r>
        <w:rPr>
          <w:rStyle w:val="HTMLCode"/>
        </w:rPr>
        <w:t>d</w:t>
      </w:r>
      <w:r>
        <w:t>) tras filtrar aquellos registros marcados como "baja fiabilidad" o "ruptura de serie".</w:t>
      </w:r>
    </w:p>
    <w:p w14:paraId="10902936" w14:textId="77777777" w:rsidR="00DE04FD" w:rsidRPr="00DE04FD" w:rsidRDefault="00DE04FD" w:rsidP="00DE04FD">
      <w:r w:rsidRPr="00DE04FD">
        <w:t>B. Tipo 2: Series Temporales Nacionales (INE)</w:t>
      </w:r>
    </w:p>
    <w:p w14:paraId="0589A95A" w14:textId="77777777" w:rsidR="00DE04FD" w:rsidRDefault="00DE04FD" w:rsidP="00DE04FD">
      <w:pPr>
        <w:pStyle w:val="NormalWeb"/>
      </w:pPr>
      <w:r>
        <w:rPr>
          <w:i/>
          <w:iCs/>
        </w:rPr>
        <w:t>Archivos identificados:</w:t>
      </w:r>
      <w:r>
        <w:t xml:space="preserve"> </w:t>
      </w:r>
      <w:r>
        <w:rPr>
          <w:rStyle w:val="HTMLCode"/>
        </w:rPr>
        <w:t>pib_ine_*.csv</w:t>
      </w:r>
      <w:r>
        <w:t>.</w:t>
      </w:r>
    </w:p>
    <w:p w14:paraId="0D32A609" w14:textId="77777777" w:rsidR="00DE04FD" w:rsidRDefault="00DE04FD" w:rsidP="00DE04FD">
      <w:pPr>
        <w:pStyle w:val="NormalWeb"/>
        <w:numPr>
          <w:ilvl w:val="0"/>
          <w:numId w:val="13"/>
        </w:numPr>
      </w:pPr>
      <w:r>
        <w:rPr>
          <w:b/>
          <w:bCs/>
        </w:rPr>
        <w:t>Limpieza de Cadenas de Texto (Regex):</w:t>
      </w:r>
      <w:r>
        <w:t xml:space="preserve"> Eliminación de anotaciones administrativas en las columnas de periodo mediante expresiones regulares.</w:t>
      </w:r>
    </w:p>
    <w:p w14:paraId="6B184D8E" w14:textId="77777777" w:rsidR="00DE04FD" w:rsidRDefault="00DE04FD" w:rsidP="00DE04FD">
      <w:pPr>
        <w:pStyle w:val="NormalWeb"/>
        <w:numPr>
          <w:ilvl w:val="1"/>
          <w:numId w:val="13"/>
        </w:numPr>
      </w:pPr>
      <w:r>
        <w:rPr>
          <w:i/>
          <w:iCs/>
        </w:rPr>
        <w:t>Ejemplo:</w:t>
      </w:r>
      <w:r>
        <w:t xml:space="preserve"> Transformar </w:t>
      </w:r>
      <w:r>
        <w:rPr>
          <w:rStyle w:val="HTMLCode"/>
        </w:rPr>
        <w:t>"2023T1 (Avance)"</w:t>
      </w:r>
      <w:r>
        <w:t xml:space="preserve"> </w:t>
      </w:r>
      <w:r>
        <w:rPr>
          <w:rStyle w:val="math-inline"/>
        </w:rPr>
        <w:t>$\to$</w:t>
      </w:r>
      <w:r>
        <w:t xml:space="preserve"> </w:t>
      </w:r>
      <w:r>
        <w:rPr>
          <w:rStyle w:val="HTMLCode"/>
        </w:rPr>
        <w:t>"2023-03-31"</w:t>
      </w:r>
      <w:r>
        <w:t>.</w:t>
      </w:r>
    </w:p>
    <w:p w14:paraId="1E6439D3" w14:textId="77777777" w:rsidR="00DE04FD" w:rsidRDefault="00DE04FD" w:rsidP="00DE04FD">
      <w:pPr>
        <w:pStyle w:val="NormalWeb"/>
        <w:numPr>
          <w:ilvl w:val="0"/>
          <w:numId w:val="13"/>
        </w:numPr>
      </w:pPr>
      <w:r>
        <w:rPr>
          <w:b/>
          <w:bCs/>
        </w:rPr>
        <w:t>Validación Numérica:</w:t>
      </w:r>
      <w:r>
        <w:t xml:space="preserve"> Conversión forzada de columnas de valor a tipo numérico (</w:t>
      </w:r>
      <w:r>
        <w:rPr>
          <w:rStyle w:val="HTMLCode"/>
        </w:rPr>
        <w:t>float64</w:t>
      </w:r>
      <w:r>
        <w:t>), gestionando la coma decimal (española) vs punto decimal (anglosajón) y eliminando separadores de miles para evitar errores de interpretación.</w:t>
      </w:r>
    </w:p>
    <w:p w14:paraId="060B033C" w14:textId="77777777" w:rsidR="00DE04FD" w:rsidRPr="00DE04FD" w:rsidRDefault="00DE04FD" w:rsidP="00DE04FD">
      <w:r w:rsidRPr="00DE04FD">
        <w:t>C. Tipo 3: Datos de Inversión y Proyectos (InvestEU)</w:t>
      </w:r>
    </w:p>
    <w:p w14:paraId="6F87D562" w14:textId="77777777" w:rsidR="00DE04FD" w:rsidRDefault="00DE04FD" w:rsidP="00DE04FD">
      <w:pPr>
        <w:pStyle w:val="NormalWeb"/>
      </w:pPr>
      <w:r>
        <w:rPr>
          <w:i/>
          <w:iCs/>
        </w:rPr>
        <w:t>Archivos identificados:</w:t>
      </w:r>
      <w:r>
        <w:t xml:space="preserve"> </w:t>
      </w:r>
      <w:r>
        <w:rPr>
          <w:rStyle w:val="HTMLCode"/>
        </w:rPr>
        <w:t>operations_list.csv</w:t>
      </w:r>
      <w:r>
        <w:t xml:space="preserve">, </w:t>
      </w:r>
      <w:r>
        <w:rPr>
          <w:rStyle w:val="HTMLCode"/>
        </w:rPr>
        <w:t>final_recipients_*.csv</w:t>
      </w:r>
      <w:r>
        <w:t>.</w:t>
      </w:r>
    </w:p>
    <w:p w14:paraId="49120078" w14:textId="77777777" w:rsidR="00DE04FD" w:rsidRDefault="00DE04FD" w:rsidP="00DE04FD">
      <w:pPr>
        <w:pStyle w:val="NormalWeb"/>
        <w:numPr>
          <w:ilvl w:val="0"/>
          <w:numId w:val="14"/>
        </w:numPr>
      </w:pPr>
      <w:r>
        <w:rPr>
          <w:b/>
          <w:bCs/>
        </w:rPr>
        <w:t>Depuración de Texto Libre:</w:t>
      </w:r>
      <w:r>
        <w:t xml:space="preserve"> Limpieza de caracteres HTML residuales, espacios dobles y saltos de línea en descripciones de proyectos y nombres de beneficiarios.</w:t>
      </w:r>
    </w:p>
    <w:p w14:paraId="52A8DCC6" w14:textId="77777777" w:rsidR="00DE04FD" w:rsidRDefault="00DE04FD" w:rsidP="00DE04FD">
      <w:pPr>
        <w:pStyle w:val="NormalWeb"/>
        <w:numPr>
          <w:ilvl w:val="0"/>
          <w:numId w:val="14"/>
        </w:numPr>
      </w:pPr>
      <w:r>
        <w:rPr>
          <w:b/>
          <w:bCs/>
        </w:rPr>
        <w:t>Normalización de Etiquetas (Tags):</w:t>
      </w:r>
      <w:r>
        <w:t xml:space="preserve"> Los campos de "tags" (sector, policy area) se separan y estandarizan para permitir filtrado por categoría en el dashboard final.</w:t>
      </w:r>
    </w:p>
    <w:p w14:paraId="332A8853" w14:textId="77777777" w:rsidR="00DE04FD" w:rsidRPr="00DE04FD" w:rsidRDefault="00DE04FD" w:rsidP="00DE04FD">
      <w:r w:rsidRPr="00DE04FD">
        <w:t>D. Tipo 4: Índices Geoespaciales Generados (Sentinel-2 / HRL)</w:t>
      </w:r>
    </w:p>
    <w:p w14:paraId="01BC9D51" w14:textId="77777777" w:rsidR="00DE04FD" w:rsidRDefault="00DE04FD" w:rsidP="00DE04FD">
      <w:pPr>
        <w:pStyle w:val="NormalWeb"/>
      </w:pPr>
      <w:r>
        <w:rPr>
          <w:i/>
          <w:iCs/>
        </w:rPr>
        <w:t>Archivos identificados:</w:t>
      </w:r>
      <w:r>
        <w:t xml:space="preserve"> </w:t>
      </w:r>
      <w:r>
        <w:rPr>
          <w:rStyle w:val="HTMLCode"/>
        </w:rPr>
        <w:t>geo_index_master.csv</w:t>
      </w:r>
      <w:r>
        <w:t>.</w:t>
      </w:r>
    </w:p>
    <w:p w14:paraId="3BEBD2A4" w14:textId="77777777" w:rsidR="00DE04FD" w:rsidRDefault="00DE04FD" w:rsidP="00DE04FD">
      <w:pPr>
        <w:pStyle w:val="NormalWeb"/>
        <w:numPr>
          <w:ilvl w:val="0"/>
          <w:numId w:val="15"/>
        </w:numPr>
      </w:pPr>
      <w:r>
        <w:rPr>
          <w:b/>
          <w:bCs/>
        </w:rPr>
        <w:t>Validación de Integridad Referencial:</w:t>
      </w:r>
      <w:r>
        <w:t xml:space="preserve"> Verificación de que cada fila del CSV apunta a un archivo de imagen </w:t>
      </w:r>
      <w:r>
        <w:rPr>
          <w:rStyle w:val="HTMLCode"/>
        </w:rPr>
        <w:t>.png</w:t>
      </w:r>
      <w:r>
        <w:t xml:space="preserve"> existente físicamente en el disco.</w:t>
      </w:r>
    </w:p>
    <w:p w14:paraId="60FCA97B" w14:textId="77777777" w:rsidR="00DE04FD" w:rsidRDefault="00DE04FD" w:rsidP="00DE04FD">
      <w:pPr>
        <w:pStyle w:val="NormalWeb"/>
        <w:numPr>
          <w:ilvl w:val="0"/>
          <w:numId w:val="15"/>
        </w:numPr>
      </w:pPr>
      <w:r>
        <w:rPr>
          <w:b/>
          <w:bCs/>
        </w:rPr>
        <w:t>Consistency Check de Coordenadas:</w:t>
      </w:r>
      <w:r>
        <w:t xml:space="preserve"> Validación lógica de las Bounding Boxes (</w:t>
      </w:r>
      <w:r>
        <w:rPr>
          <w:rStyle w:val="math-inline"/>
        </w:rPr>
        <w:t>$xmin &lt; xmax$</w:t>
      </w:r>
      <w:r>
        <w:t xml:space="preserve"> y </w:t>
      </w:r>
      <w:r>
        <w:rPr>
          <w:rStyle w:val="math-inline"/>
        </w:rPr>
        <w:t>$ymin &lt; ymax$</w:t>
      </w:r>
      <w:r>
        <w:t>) y comprobación de que las coordenadas caen dentro del sistema de referencia espacial esperado (EPSG:4326 o EPSG:3857).</w:t>
      </w:r>
    </w:p>
    <w:p w14:paraId="76A98BF1" w14:textId="77777777" w:rsidR="00DE04FD" w:rsidRPr="00090C70" w:rsidRDefault="00DE04FD" w:rsidP="00DE04F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14:paraId="011798A4" w14:textId="77777777" w:rsidR="00090C70" w:rsidRPr="00090C70" w:rsidRDefault="006D518D" w:rsidP="00090C70">
      <w:pPr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noProof/>
          <w:lang w:eastAsia="en-GB"/>
        </w:rPr>
        <w:pict w14:anchorId="6C227C6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1477611" w14:textId="77777777" w:rsidR="00090C70" w:rsidRPr="00090C70" w:rsidRDefault="00090C70" w:rsidP="00090C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90C7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Verificación Espacial Cruzada (FUA vs. Imágenes)</w:t>
      </w:r>
    </w:p>
    <w:p w14:paraId="2D891D48" w14:textId="77777777" w:rsidR="00090C70" w:rsidRPr="00090C70" w:rsidRDefault="00090C70" w:rsidP="00090C7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lang w:eastAsia="en-GB"/>
        </w:rPr>
        <w:t>Para segmentar el análisis urbano, se cruzan los datos procesados con las Áreas Urbanas Funcionales (FUA):</w:t>
      </w:r>
    </w:p>
    <w:p w14:paraId="00350D7D" w14:textId="77777777" w:rsidR="00090C70" w:rsidRPr="00090C70" w:rsidRDefault="00090C70" w:rsidP="00090C7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Carga de Geometrías: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 Se ingieren los polígonos de las FUAs (Shapefiles/GeoJSON).</w:t>
      </w:r>
    </w:p>
    <w:p w14:paraId="0E5333B1" w14:textId="77777777" w:rsidR="00090C70" w:rsidRPr="00090C70" w:rsidRDefault="00090C70" w:rsidP="00090C7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b/>
          <w:bCs/>
          <w:lang w:eastAsia="en-GB"/>
        </w:rPr>
        <w:t>Point-in-Polygon: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 Utilizando el </w:t>
      </w:r>
      <w:r w:rsidRPr="00090C70">
        <w:rPr>
          <w:rFonts w:ascii="Times New Roman" w:eastAsia="Times New Roman" w:hAnsi="Times New Roman" w:cs="Times New Roman"/>
          <w:i/>
          <w:iCs/>
          <w:lang w:eastAsia="en-GB"/>
        </w:rPr>
        <w:t>Índice Maestro Geoespacial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 generado en la sección 2, se calcula el centroide de cada imagen.</w:t>
      </w:r>
    </w:p>
    <w:p w14:paraId="28F2BCC5" w14:textId="77777777" w:rsidR="00090C70" w:rsidRPr="00090C70" w:rsidRDefault="00090C70" w:rsidP="00090C7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b/>
          <w:bCs/>
          <w:lang w:eastAsia="en-GB"/>
        </w:rPr>
        <w:t>Filtrado: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 Se valida matemáticamente si </w:t>
      </w:r>
      <w:r w:rsidRPr="00090C70">
        <w:rPr>
          <w:rFonts w:ascii="Courier New" w:eastAsia="Times New Roman" w:hAnsi="Courier New" w:cs="Courier New"/>
          <w:sz w:val="20"/>
          <w:szCs w:val="20"/>
          <w:lang w:eastAsia="en-GB"/>
        </w:rPr>
        <w:t>Centroide_Imagen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 está contenido en </w:t>
      </w:r>
      <w:r w:rsidRPr="00090C70">
        <w:rPr>
          <w:rFonts w:ascii="Courier New" w:eastAsia="Times New Roman" w:hAnsi="Courier New" w:cs="Courier New"/>
          <w:sz w:val="20"/>
          <w:szCs w:val="20"/>
          <w:lang w:eastAsia="en-GB"/>
        </w:rPr>
        <w:t>Polígono_FUA</w:t>
      </w:r>
      <w:r w:rsidRPr="00090C70">
        <w:rPr>
          <w:rFonts w:ascii="Times New Roman" w:eastAsia="Times New Roman" w:hAnsi="Times New Roman" w:cs="Times New Roman"/>
          <w:lang w:eastAsia="en-GB"/>
        </w:rPr>
        <w:t>. Las imágenes fuera de las áreas de interés se marcan como "descartadas" en el índice.</w:t>
      </w:r>
    </w:p>
    <w:p w14:paraId="0340A941" w14:textId="77777777" w:rsidR="00090C70" w:rsidRPr="00090C70" w:rsidRDefault="006D518D" w:rsidP="00090C70">
      <w:pPr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noProof/>
          <w:lang w:eastAsia="en-GB"/>
        </w:rPr>
        <w:pict w14:anchorId="020BD4B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2A9E227" w14:textId="77777777" w:rsidR="00090C70" w:rsidRPr="00090C70" w:rsidRDefault="00090C70" w:rsidP="00090C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90C7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Implementación Técnica y Ejecución</w:t>
      </w:r>
    </w:p>
    <w:p w14:paraId="2A55CD36" w14:textId="77777777" w:rsidR="00090C70" w:rsidRPr="00090C70" w:rsidRDefault="00090C70" w:rsidP="00090C7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lang w:eastAsia="en-GB"/>
        </w:rPr>
        <w:t xml:space="preserve">El pipeline se despliega en el clúster </w:t>
      </w:r>
      <w:r w:rsidRPr="00090C70">
        <w:rPr>
          <w:rFonts w:ascii="Times New Roman" w:eastAsia="Times New Roman" w:hAnsi="Times New Roman" w:cs="Times New Roman"/>
          <w:b/>
          <w:bCs/>
          <w:lang w:eastAsia="en-GB"/>
        </w:rPr>
        <w:t>Lorca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 bajo un entorno de ejecución persistente para tolerar procesos de larga duración (descargas masivas y conversión de imágenes).</w:t>
      </w:r>
    </w:p>
    <w:p w14:paraId="38AE4F55" w14:textId="77777777" w:rsidR="00090C70" w:rsidRPr="00090C70" w:rsidRDefault="00090C70" w:rsidP="00090C7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b/>
          <w:bCs/>
          <w:lang w:eastAsia="en-GB"/>
        </w:rPr>
        <w:t>Orquestador: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090C70">
        <w:rPr>
          <w:rFonts w:ascii="Courier New" w:eastAsia="Times New Roman" w:hAnsi="Courier New" w:cs="Courier New"/>
          <w:sz w:val="20"/>
          <w:szCs w:val="20"/>
          <w:lang w:eastAsia="en-GB"/>
        </w:rPr>
        <w:t>run_all.py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 gestiona la ejecución secuencial, asegurando que la limpieza (</w:t>
      </w:r>
      <w:r w:rsidRPr="00090C70">
        <w:rPr>
          <w:rFonts w:ascii="Courier New" w:eastAsia="Times New Roman" w:hAnsi="Courier New" w:cs="Courier New"/>
          <w:sz w:val="20"/>
          <w:szCs w:val="20"/>
          <w:lang w:eastAsia="en-GB"/>
        </w:rPr>
        <w:t>clean_and_validate.py</w:t>
      </w:r>
      <w:r w:rsidRPr="00090C70">
        <w:rPr>
          <w:rFonts w:ascii="Times New Roman" w:eastAsia="Times New Roman" w:hAnsi="Times New Roman" w:cs="Times New Roman"/>
          <w:lang w:eastAsia="en-GB"/>
        </w:rPr>
        <w:t>) solo comience cuando las descargas (</w:t>
      </w:r>
      <w:r w:rsidRPr="00090C70">
        <w:rPr>
          <w:rFonts w:ascii="Courier New" w:eastAsia="Times New Roman" w:hAnsi="Courier New" w:cs="Courier New"/>
          <w:sz w:val="20"/>
          <w:szCs w:val="20"/>
          <w:lang w:eastAsia="en-GB"/>
        </w:rPr>
        <w:t>Sentinel-2_extract.py</w:t>
      </w:r>
      <w:r w:rsidRPr="00090C70">
        <w:rPr>
          <w:rFonts w:ascii="Times New Roman" w:eastAsia="Times New Roman" w:hAnsi="Times New Roman" w:cs="Times New Roman"/>
          <w:lang w:eastAsia="en-GB"/>
        </w:rPr>
        <w:t>, etc.) hayan finalizado con éxito.</w:t>
      </w:r>
    </w:p>
    <w:p w14:paraId="12264AFF" w14:textId="77777777" w:rsidR="00090C70" w:rsidRPr="00090C70" w:rsidRDefault="00090C70" w:rsidP="00090C7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b/>
          <w:bCs/>
          <w:lang w:eastAsia="en-GB"/>
        </w:rPr>
        <w:t>Persistencia: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 Uso de </w:t>
      </w:r>
      <w:r w:rsidRPr="00090C70">
        <w:rPr>
          <w:rFonts w:ascii="Courier New" w:eastAsia="Times New Roman" w:hAnsi="Courier New" w:cs="Courier New"/>
          <w:sz w:val="20"/>
          <w:szCs w:val="20"/>
          <w:lang w:eastAsia="en-GB"/>
        </w:rPr>
        <w:t>screen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 para mantener el proceso activo en </w:t>
      </w:r>
      <w:r w:rsidRPr="00090C70">
        <w:rPr>
          <w:rFonts w:ascii="Times New Roman" w:eastAsia="Times New Roman" w:hAnsi="Times New Roman" w:cs="Times New Roman"/>
          <w:i/>
          <w:iCs/>
          <w:lang w:eastAsia="en-GB"/>
        </w:rPr>
        <w:t>background</w:t>
      </w:r>
      <w:r w:rsidRPr="00090C70">
        <w:rPr>
          <w:rFonts w:ascii="Times New Roman" w:eastAsia="Times New Roman" w:hAnsi="Times New Roman" w:cs="Times New Roman"/>
          <w:lang w:eastAsia="en-GB"/>
        </w:rPr>
        <w:t>.</w:t>
      </w:r>
    </w:p>
    <w:p w14:paraId="6217C751" w14:textId="77777777" w:rsidR="00090C70" w:rsidRPr="00090C70" w:rsidRDefault="00090C70" w:rsidP="00090C7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90C70">
        <w:rPr>
          <w:rFonts w:ascii="Times New Roman" w:eastAsia="Times New Roman" w:hAnsi="Times New Roman" w:cs="Times New Roman"/>
          <w:b/>
          <w:bCs/>
          <w:lang w:eastAsia="en-GB"/>
        </w:rPr>
        <w:t>Entorno Virtual: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 Aislamiento de dependencias (</w:t>
      </w:r>
      <w:r w:rsidRPr="00090C70">
        <w:rPr>
          <w:rFonts w:ascii="Courier New" w:eastAsia="Times New Roman" w:hAnsi="Courier New" w:cs="Courier New"/>
          <w:sz w:val="20"/>
          <w:szCs w:val="20"/>
          <w:lang w:eastAsia="en-GB"/>
        </w:rPr>
        <w:t>rasterio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090C70">
        <w:rPr>
          <w:rFonts w:ascii="Courier New" w:eastAsia="Times New Roman" w:hAnsi="Courier New" w:cs="Courier New"/>
          <w:sz w:val="20"/>
          <w:szCs w:val="20"/>
          <w:lang w:eastAsia="en-GB"/>
        </w:rPr>
        <w:t>pandas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090C70">
        <w:rPr>
          <w:rFonts w:ascii="Courier New" w:eastAsia="Times New Roman" w:hAnsi="Courier New" w:cs="Courier New"/>
          <w:sz w:val="20"/>
          <w:szCs w:val="20"/>
          <w:lang w:eastAsia="en-GB"/>
        </w:rPr>
        <w:t>geopandas</w:t>
      </w:r>
      <w:r w:rsidRPr="00090C70">
        <w:rPr>
          <w:rFonts w:ascii="Times New Roman" w:eastAsia="Times New Roman" w:hAnsi="Times New Roman" w:cs="Times New Roman"/>
          <w:lang w:eastAsia="en-GB"/>
        </w:rPr>
        <w:t xml:space="preserve">) mediante </w:t>
      </w:r>
      <w:r w:rsidRPr="00090C70">
        <w:rPr>
          <w:rFonts w:ascii="Courier New" w:eastAsia="Times New Roman" w:hAnsi="Courier New" w:cs="Courier New"/>
          <w:sz w:val="20"/>
          <w:szCs w:val="20"/>
          <w:lang w:eastAsia="en-GB"/>
        </w:rPr>
        <w:t>venv</w:t>
      </w:r>
      <w:r w:rsidRPr="00090C70">
        <w:rPr>
          <w:rFonts w:ascii="Times New Roman" w:eastAsia="Times New Roman" w:hAnsi="Times New Roman" w:cs="Times New Roman"/>
          <w:lang w:eastAsia="en-GB"/>
        </w:rPr>
        <w:t>.</w:t>
      </w:r>
    </w:p>
    <w:p w14:paraId="53E524D5" w14:textId="77777777" w:rsidR="00D143FC" w:rsidRPr="00090C70" w:rsidRDefault="00D143FC">
      <w:pPr>
        <w:rPr>
          <w:rFonts w:ascii="Times New Roman" w:hAnsi="Times New Roman" w:cs="Times New Roman"/>
          <w:sz w:val="22"/>
          <w:szCs w:val="22"/>
        </w:rPr>
      </w:pPr>
    </w:p>
    <w:sectPr w:rsidR="00D143FC" w:rsidRPr="00090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F008F"/>
    <w:multiLevelType w:val="multilevel"/>
    <w:tmpl w:val="2842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B578E"/>
    <w:multiLevelType w:val="multilevel"/>
    <w:tmpl w:val="53BA6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165A3"/>
    <w:multiLevelType w:val="multilevel"/>
    <w:tmpl w:val="EECE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B50AC"/>
    <w:multiLevelType w:val="multilevel"/>
    <w:tmpl w:val="50D44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E54E52"/>
    <w:multiLevelType w:val="multilevel"/>
    <w:tmpl w:val="C2E2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61261"/>
    <w:multiLevelType w:val="multilevel"/>
    <w:tmpl w:val="77E0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71498"/>
    <w:multiLevelType w:val="multilevel"/>
    <w:tmpl w:val="A1A26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DD6698"/>
    <w:multiLevelType w:val="multilevel"/>
    <w:tmpl w:val="3742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273E0"/>
    <w:multiLevelType w:val="multilevel"/>
    <w:tmpl w:val="54026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275D2E"/>
    <w:multiLevelType w:val="multilevel"/>
    <w:tmpl w:val="D0AE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C65CA"/>
    <w:multiLevelType w:val="multilevel"/>
    <w:tmpl w:val="8764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1464F"/>
    <w:multiLevelType w:val="multilevel"/>
    <w:tmpl w:val="300ED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63356C"/>
    <w:multiLevelType w:val="multilevel"/>
    <w:tmpl w:val="7E0E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1C79B0"/>
    <w:multiLevelType w:val="multilevel"/>
    <w:tmpl w:val="399C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F0100A"/>
    <w:multiLevelType w:val="multilevel"/>
    <w:tmpl w:val="27C8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7"/>
  </w:num>
  <w:num w:numId="4">
    <w:abstractNumId w:val="0"/>
  </w:num>
  <w:num w:numId="5">
    <w:abstractNumId w:val="3"/>
  </w:num>
  <w:num w:numId="6">
    <w:abstractNumId w:val="8"/>
  </w:num>
  <w:num w:numId="7">
    <w:abstractNumId w:val="6"/>
  </w:num>
  <w:num w:numId="8">
    <w:abstractNumId w:val="13"/>
  </w:num>
  <w:num w:numId="9">
    <w:abstractNumId w:val="9"/>
  </w:num>
  <w:num w:numId="10">
    <w:abstractNumId w:val="1"/>
  </w:num>
  <w:num w:numId="11">
    <w:abstractNumId w:val="4"/>
  </w:num>
  <w:num w:numId="12">
    <w:abstractNumId w:val="12"/>
  </w:num>
  <w:num w:numId="13">
    <w:abstractNumId w:val="14"/>
  </w:num>
  <w:num w:numId="14">
    <w:abstractNumId w:val="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3FC"/>
    <w:rsid w:val="00090C70"/>
    <w:rsid w:val="00511791"/>
    <w:rsid w:val="006D518D"/>
    <w:rsid w:val="00D143FC"/>
    <w:rsid w:val="00DE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6950C1"/>
  <w15:chartTrackingRefBased/>
  <w15:docId w15:val="{72B1259D-FA4E-0B4A-BEBB-8BEDA6F64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43F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D143F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143F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4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3F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D143F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143F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143F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D143FC"/>
    <w:rPr>
      <w:rFonts w:ascii="Courier New" w:eastAsia="Times New Roman" w:hAnsi="Courier New" w:cs="Courier New"/>
      <w:sz w:val="20"/>
      <w:szCs w:val="20"/>
    </w:rPr>
  </w:style>
  <w:style w:type="character" w:customStyle="1" w:styleId="ng-tns-c2451299390-27">
    <w:name w:val="ng-tns-c2451299390-27"/>
    <w:basedOn w:val="DefaultParagraphFont"/>
    <w:rsid w:val="00D143F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43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43FC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comment">
    <w:name w:val="hljs-comment"/>
    <w:basedOn w:val="DefaultParagraphFont"/>
    <w:rsid w:val="00D143FC"/>
  </w:style>
  <w:style w:type="character" w:customStyle="1" w:styleId="hljs-builtin">
    <w:name w:val="hljs-built_in"/>
    <w:basedOn w:val="DefaultParagraphFont"/>
    <w:rsid w:val="00D143FC"/>
  </w:style>
  <w:style w:type="character" w:customStyle="1" w:styleId="math-inline">
    <w:name w:val="math-inline"/>
    <w:basedOn w:val="DefaultParagraphFont"/>
    <w:rsid w:val="00D143FC"/>
  </w:style>
  <w:style w:type="character" w:customStyle="1" w:styleId="ng-tns-c2451299390-28">
    <w:name w:val="ng-tns-c2451299390-28"/>
    <w:basedOn w:val="DefaultParagraphFont"/>
    <w:rsid w:val="00D143FC"/>
  </w:style>
  <w:style w:type="character" w:customStyle="1" w:styleId="hljs-keyword">
    <w:name w:val="hljs-keyword"/>
    <w:basedOn w:val="DefaultParagraphFont"/>
    <w:rsid w:val="00D143FC"/>
  </w:style>
  <w:style w:type="character" w:customStyle="1" w:styleId="hljs-function">
    <w:name w:val="hljs-function"/>
    <w:basedOn w:val="DefaultParagraphFont"/>
    <w:rsid w:val="00D143FC"/>
  </w:style>
  <w:style w:type="character" w:customStyle="1" w:styleId="hljs-title">
    <w:name w:val="hljs-title"/>
    <w:basedOn w:val="DefaultParagraphFont"/>
    <w:rsid w:val="00D143FC"/>
  </w:style>
  <w:style w:type="character" w:customStyle="1" w:styleId="hljs-params">
    <w:name w:val="hljs-params"/>
    <w:basedOn w:val="DefaultParagraphFont"/>
    <w:rsid w:val="00D143FC"/>
  </w:style>
  <w:style w:type="character" w:customStyle="1" w:styleId="hljs-string">
    <w:name w:val="hljs-string"/>
    <w:basedOn w:val="DefaultParagraphFont"/>
    <w:rsid w:val="00D143FC"/>
  </w:style>
  <w:style w:type="character" w:customStyle="1" w:styleId="citation-2">
    <w:name w:val="citation-2"/>
    <w:basedOn w:val="DefaultParagraphFont"/>
    <w:rsid w:val="00D143FC"/>
  </w:style>
  <w:style w:type="character" w:customStyle="1" w:styleId="ng-tns-c2451299390-29">
    <w:name w:val="ng-tns-c2451299390-29"/>
    <w:basedOn w:val="DefaultParagraphFont"/>
    <w:rsid w:val="00D143FC"/>
  </w:style>
  <w:style w:type="character" w:customStyle="1" w:styleId="Heading4Char">
    <w:name w:val="Heading 4 Char"/>
    <w:basedOn w:val="DefaultParagraphFont"/>
    <w:link w:val="Heading4"/>
    <w:uiPriority w:val="9"/>
    <w:semiHidden/>
    <w:rsid w:val="00DE04F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46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5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23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3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20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4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8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1067</Words>
  <Characters>6087</Characters>
  <Application>Microsoft Office Word</Application>
  <DocSecurity>0</DocSecurity>
  <Lines>50</Lines>
  <Paragraphs>14</Paragraphs>
  <ScaleCrop>false</ScaleCrop>
  <Company/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MATA RIUS</dc:creator>
  <cp:keywords/>
  <dc:description/>
  <cp:lastModifiedBy>PABLO MATA RIUS</cp:lastModifiedBy>
  <cp:revision>3</cp:revision>
  <dcterms:created xsi:type="dcterms:W3CDTF">2025-11-19T11:51:00Z</dcterms:created>
  <dcterms:modified xsi:type="dcterms:W3CDTF">2025-11-19T12:50:00Z</dcterms:modified>
</cp:coreProperties>
</file>