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Guía de estilo DITA del manual de mantenimiento (extracto)</w:t>
      </w:r>
    </w:p>
    <w:p>
      <w:r>
        <w:t xml:space="preserve">Este extracto de la guía de estilo recoge las convenciones que el equipo de redacción técnica aplica a los temas DITA del manual de mantenimiento del buque. La guía completa tiene once capítulos; aquí solo se incluyen los apartados sobre tareas, advertencias y tablas. Con ella buscamos que todos los redactores escriban de la misma forma y que las revisiones sean más rápidas y menos costosas.</w:t>
      </w:r>
    </w:p>
    <w:p>
      <w:r>
        <w:rPr>
          <w:b/>
          <w:sz w:val="26"/>
        </w:rPr>
        <w:t xml:space="preserve">Tareas</w:t>
      </w:r>
    </w:p>
    <w:p>
      <w:r>
        <w:t xml:space="preserve">Las tareas describen los procedimientos que el personal de a bordo realiza durante el mantenimiento preventivo y correctivo de los equipos.</w:t>
      </w:r>
    </w:p>
    <w:p>
      <w:r>
        <w:t xml:space="preserve">Cada paso de una tarea debe contener una sola acción. Si una instrucción necesita dos acciones, se divide en dos elementos &lt;step&gt; consecutivos.</w:t>
      </w:r>
    </w:p>
    <w:p>
      <w:r>
        <w:t xml:space="preserve">Según la decisión BRDP-D1-00020, el texto del elemento &lt;cmd&gt; se redacta siempre en infinitivo y empieza por el verbo de la acción, por ejemplo «Desmontar la tapa del filtro».</w:t>
      </w:r>
    </w:p>
    <w:p>
      <w:r>
        <w:t xml:space="preserve">El departamento de ingeniería revisa los procedimientos dos veces al año, normalmente en primavera y en otoño. El equipo de redacción trabaja con un editor XML compartido y publica el manual en HTML5 y en PDF para que pueda consultarse tanto a bordo como en tierra.</w:t>
      </w:r>
    </w:p>
    <w:p>
      <w:r>
        <w:rPr>
          <w:b/>
          <w:sz w:val="26"/>
        </w:rPr>
        <w:t xml:space="preserve">Advertencias y precauciones</w:t>
      </w:r>
    </w:p>
    <w:p>
      <w:r>
        <w:t xml:space="preserve">Las advertencias de seguridad se marcan siempre con el elemento &lt;hazardstatement&gt; y nunca con &lt;note type="warning"&gt;.</w:t>
      </w:r>
    </w:p>
    <w:p>
      <w:r>
        <w:t xml:space="preserve">Las precauciones que afectan al equipo, y no a las personas, deben ir en un elemento &lt;note type="caution"&gt; colocado antes del paso al que se refieren.</w:t>
      </w:r>
    </w:p>
    <w:p>
      <w:r>
        <w:rPr>
          <w:b/>
          <w:sz w:val="26"/>
        </w:rPr>
        <w:t xml:space="preserve">Tablas</w:t>
      </w:r>
    </w:p>
    <w:p>
      <w:r>
        <w:t xml:space="preserve">Todas las tablas deben llevar un título en el elemento &lt;title&gt;, aunque la tabla sea pequeña.</w:t>
      </w:r>
    </w:p>
    <w:p>
      <w:r>
        <w:rPr>
          <w:b/>
          <w:sz w:val="26"/>
        </w:rPr>
        <w:t xml:space="preserve">Recordatorio para los redactores</w:t>
      </w:r>
    </w:p>
    <w:p>
      <w:r>
        <w:t xml:space="preserve">Recuerde que en un mismo &lt;step&gt; no se mezclan dos acciones distintas: cada acción va en su propio paso, aunque sean muy cortas.</w:t>
      </w:r>
    </w:p>
    <w:p>
      <w:r>
        <w:t xml:space="preserve">Si tiene dudas sobre cualquiera de estas convenciones, consulte al responsable de la documentación del proyecto antes de entregar el tema para revisión. Las propuestas de cambio a la guía se recogen en la reunión mensual del equipo y se incorporan en la siguiente edición.</w:t>
      </w:r>
    </w:p>
  </w:body>
</w:document>
</file>