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aptionedFigure"/>
        <w:spacing w:before="80" w:after="120"/>
        <w:jc w:val="center"/>
      </w:pPr>
      <w:r>
        <w:drawing>
          <wp:inline>
            <wp:extent cx="6299200" cy="8906933"/>
            <wp:effectExtent b="0" l="0" r="0" t="0"/>
            <wp:docPr descr="Portada" title="" id="21" name="Picture"/>
            <a:graphic>
              <a:graphicData uri="http://schemas.openxmlformats.org/drawingml/2006/picture">
                <pic:pic>
                  <pic:nvPicPr>
                    <pic:cNvPr descr="assets/cov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0" cy="8906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Portada</w:t>
      </w:r>
    </w:p>
    <w:p>
      <w:r>
        <w:br w:type="page"/>
      </w:r>
    </w:p>
    <w:bookmarkStart w:id="24" w:name="control-documental"/>
    <w:p>
      <w:pPr>
        <w:pStyle w:val="Heading1"/>
        <w:keepNext/>
        <w:widowControl/>
      </w:pPr>
      <w:r>
        <w:t xml:space="preserve">Control documental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430"/>
        <w:gridCol w:w="7290"/>
      </w:tblGrid>
      <w:tr>
        <w:trPr>
          <w:tblHeader w:val="on"/>
          <w:tblHeader w:val="true"/>
          <w:cantSplit/>
        </w:trPr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type="dxa" w:w="72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Valor</w:t>
            </w:r>
          </w:p>
        </w:tc>
      </w:tr>
      <w:tr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Documento</w:t>
            </w:r>
          </w:p>
        </w:tc>
        <w:tc>
          <w:tcPr>
            <w:tcW w:type="dxa" w:w="72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Escaparates Pro — Enterprise Master Specification</w:t>
            </w:r>
          </w:p>
        </w:tc>
      </w:tr>
      <w:tr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Versión</w:t>
            </w:r>
          </w:p>
        </w:tc>
        <w:tc>
          <w:tcPr>
            <w:tcW w:type="dxa" w:w="72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2.0 — Audited Edition</w:t>
            </w:r>
          </w:p>
        </w:tc>
      </w:tr>
      <w:tr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Fecha</w:t>
            </w:r>
          </w:p>
        </w:tc>
        <w:tc>
          <w:tcPr>
            <w:tcW w:type="dxa" w:w="72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14 de julio de 2026</w:t>
            </w:r>
          </w:p>
        </w:tc>
      </w:tr>
      <w:tr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Propietario de producto</w:t>
            </w:r>
          </w:p>
        </w:tc>
        <w:tc>
          <w:tcPr>
            <w:tcW w:type="dxa" w:w="72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Juan Manuel Espinosa Galant</w:t>
            </w:r>
          </w:p>
        </w:tc>
      </w:tr>
      <w:tr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Repositorio auditado</w:t>
            </w:r>
          </w:p>
        </w:tc>
        <w:tc>
          <w:tcPr>
            <w:tcW w:type="dxa" w:w="72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6"/>
              </w:rPr>
              <w:t xml:space="preserve">Juanmaes83/escaparates-pro</w:t>
            </w:r>
          </w:p>
        </w:tc>
      </w:tr>
      <w:tr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Rama / commit base</w:t>
            </w:r>
          </w:p>
        </w:tc>
        <w:tc>
          <w:tcPr>
            <w:tcW w:type="dxa" w:w="72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6"/>
              </w:rPr>
              <w:t xml:space="preserve">master</w:t>
            </w:r>
            <w:r>
              <w:rPr>
                <w:rFonts w:ascii="Aptos" w:hAnsi="Aptos"/>
                <w:color w:val="1E293B"/>
                <w:sz w:val="16"/>
              </w:rPr>
              <w:t xml:space="preserve"> </w:t>
            </w:r>
            <w:r>
              <w:rPr>
                <w:rFonts w:ascii="Aptos" w:hAnsi="Aptos"/>
                <w:color w:val="1E293B"/>
                <w:sz w:val="16"/>
              </w:rPr>
              <w:t xml:space="preserve">/</w:t>
            </w:r>
            <w:r>
              <w:rPr>
                <w:rFonts w:ascii="Aptos" w:hAnsi="Aptos"/>
                <w:color w:val="1E293B"/>
                <w:sz w:val="16"/>
              </w:rPr>
              <w:t xml:space="preserve"> </w:t>
            </w:r>
            <w:r>
              <w:rPr>
                <w:rStyle w:val="VerbatimChar"/>
                <w:rFonts w:ascii="Aptos" w:hAnsi="Aptos"/>
                <w:color w:val="1E293B"/>
                <w:sz w:val="16"/>
              </w:rPr>
              <w:t xml:space="preserve">cc3a8002d0a5ab5237ca87068990d03f0081e54c</w:t>
            </w:r>
          </w:p>
        </w:tc>
      </w:tr>
      <w:tr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Estado</w:t>
            </w:r>
          </w:p>
        </w:tc>
        <w:tc>
          <w:tcPr>
            <w:tcW w:type="dxa" w:w="72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Normativo para planificación; implementación sujeta a PR y verificación</w:t>
            </w:r>
          </w:p>
        </w:tc>
      </w:tr>
      <w:tr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Audiencia</w:t>
            </w:r>
          </w:p>
        </w:tc>
        <w:tc>
          <w:tcPr>
            <w:tcW w:type="dxa" w:w="72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Producto, ingeniería, seguridad, legal, operaciones, Codex, Claude y revisores</w:t>
            </w:r>
          </w:p>
        </w:tc>
      </w:tr>
      <w:tr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Clasificación</w:t>
            </w:r>
          </w:p>
        </w:tc>
        <w:tc>
          <w:tcPr>
            <w:tcW w:type="dxa" w:w="72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Confidencial — working specification</w:t>
            </w:r>
          </w:p>
        </w:tc>
      </w:tr>
    </w:tbl>
    <w:p>
      <w:pPr>
        <w:pStyle w:val="BlockText"/>
        <w:pBdr>
          <w:left w:val="single" w:sz="18" w:space="8" w:color="2563EB"/>
        </w:pBdr>
        <w:shd w:fill="EFF6FF"/>
      </w:pPr>
      <w:r>
        <w:rPr>
          <w:b/>
          <w:bCs/>
        </w:rPr>
        <w:t xml:space="preserve">Propósito.</w:t>
      </w:r>
      <w:r>
        <w:t xml:space="preserve"> </w:t>
      </w:r>
      <w:r>
        <w:t xml:space="preserve">Convertir Escaparates Pro en un SaaS comercial real, seguro, medible y escalable sin destruir el activo diferencial: el editor y runtime visual existente. Este documento sustituye al roadmap lineal de la versión 1.0 como guía operativa y lo transforma en una especificación ejecutable por agentes de ingeniería.</w:t>
      </w:r>
    </w:p>
    <w:bookmarkStart w:id="23" w:name="autoridad-y-jerarquía-de-fuentes"/>
    <w:p>
      <w:pPr>
        <w:pStyle w:val="Heading2"/>
        <w:keepNext/>
        <w:widowControl/>
      </w:pPr>
      <w:r>
        <w:t xml:space="preserve">Autoridad y jerarquía de fuentes</w:t>
      </w:r>
    </w:p>
    <w:p>
      <w:pPr>
        <w:pStyle w:val="Compact"/>
        <w:numPr>
          <w:ilvl w:val="0"/>
          <w:numId w:val="1001"/>
        </w:numPr>
      </w:pPr>
      <w:r>
        <w:t xml:space="preserve">Esta especificación define objetivos, invariantes, arquitectura y release gates.</w:t>
      </w:r>
    </w:p>
    <w:p>
      <w:pPr>
        <w:pStyle w:val="Compact"/>
        <w:numPr>
          <w:ilvl w:val="0"/>
          <w:numId w:val="1001"/>
        </w:numPr>
      </w:pPr>
      <w:r>
        <w:t xml:space="preserve">Los contratos ejecutables —OpenAPI, JSON Schema, migraciones y tests— son la verdad técnica de cada versión.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docs/status/current-state.md</w:t>
      </w:r>
      <w:r>
        <w:t xml:space="preserve"> </w:t>
      </w:r>
      <w:r>
        <w:t xml:space="preserve">debe reflejar el commit desplegado y nunca aspiraciones futuras.</w:t>
      </w:r>
    </w:p>
    <w:p>
      <w:pPr>
        <w:pStyle w:val="Compact"/>
        <w:numPr>
          <w:ilvl w:val="0"/>
          <w:numId w:val="1001"/>
        </w:numPr>
      </w:pPr>
      <w:r>
        <w:t xml:space="preserve">Los ADR documentan decisiones irreversibles o costosas.</w:t>
      </w:r>
    </w:p>
    <w:p>
      <w:pPr>
        <w:pStyle w:val="Compact"/>
        <w:numPr>
          <w:ilvl w:val="0"/>
          <w:numId w:val="1001"/>
        </w:numPr>
      </w:pPr>
      <w:r>
        <w:t xml:space="preserve">El README explica uso; no sustituye contratos ni estado.</w:t>
      </w:r>
    </w:p>
    <w:p>
      <w:pPr>
        <w:pStyle w:val="FirstParagraph"/>
      </w:pPr>
      <w:r>
        <w:rPr>
          <w:b/>
          <w:bCs/>
        </w:rPr>
        <w:t xml:space="preserve">Regla anti-deriva:</w:t>
      </w:r>
      <w:r>
        <w:t xml:space="preserve"> </w:t>
      </w:r>
      <w:r>
        <w:t xml:space="preserve">una PR que cambie comportamiento, schema, plan, endpoint, seguridad o despliegue debe actualizar la documentación correspondiente en la misma PR.</w:t>
      </w:r>
    </w:p>
    <w:bookmarkEnd w:id="23"/>
    <w:bookmarkEnd w:id="24"/>
    <w:bookmarkStart w:id="32" w:name="resumen-ejecutivo"/>
    <w:p>
      <w:pPr>
        <w:pStyle w:val="Heading1"/>
        <w:keepNext/>
        <w:widowControl/>
        <w:pageBreakBefore/>
      </w:pPr>
      <w:r>
        <w:br w:type="page"/>
      </w:r>
      <w:r>
        <w:t xml:space="preserve">1. Resumen ejecutivo</w:t>
      </w:r>
    </w:p>
    <w:bookmarkStart w:id="28" w:name="veredicto-profesional"/>
    <w:p>
      <w:pPr>
        <w:pStyle w:val="Heading2"/>
        <w:keepNext/>
        <w:widowControl/>
      </w:pPr>
      <w:r>
        <w:t xml:space="preserve">1.1 Veredicto profesional</w:t>
      </w:r>
    </w:p>
    <w:p>
      <w:pPr>
        <w:pStyle w:val="FirstParagraph"/>
      </w:pPr>
      <w:r>
        <w:t xml:space="preserve">Escaparates Pro ya no es sólo un prototipo visual. El repositorio auditado contiene una API Fastify/TypeScript, PostgreSQL con Drizzle, autenticación email/password, sesiones persistidas, workspace gratuito por defecto, una base de Stripe Checkout y un frontend que exige login y lee el plan desde backend [G1–G7]. El PR #11 fue fusionado el 14 de julio de 2026 y confirma que el flujo visual ya distingue Demo, Free y Pro [G2].</w:t>
      </w:r>
    </w:p>
    <w:p>
      <w:pPr>
        <w:pStyle w:val="BodyText"/>
      </w:pPr>
      <w:r>
        <w:t xml:space="preserve">Sin embargo,</w:t>
      </w:r>
      <w:r>
        <w:t xml:space="preserve"> </w:t>
      </w:r>
      <w:r>
        <w:rPr>
          <w:b/>
          <w:bCs/>
        </w:rPr>
        <w:t xml:space="preserve">todavía no es un SaaS preparado para cobrar dinero real de forma segura y repetible</w:t>
      </w:r>
      <w:r>
        <w:t xml:space="preserve">. La brecha principal no está en añadir más efectos; está en cerrar cinco sistemas de verdad: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Identidad segura:</w:t>
      </w:r>
      <w:r>
        <w:t xml:space="preserve"> </w:t>
      </w:r>
      <w:r>
        <w:t xml:space="preserve">el refresh token sigue almacenado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por tanto es extraíble ante XSS [G4].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Billing autoritativo:</w:t>
      </w:r>
      <w:r>
        <w:t xml:space="preserve"> </w:t>
      </w:r>
      <w:r>
        <w:t xml:space="preserve">existe Checkout, pero no webhook, portal, reconciliación ni lifecycle de suscripción [G6].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Entitlements server-side:</w:t>
      </w:r>
      <w:r>
        <w:t xml:space="preserve"> </w:t>
      </w:r>
      <w:r>
        <w:t xml:space="preserve">el frontend bloquea acciones, pero el backend todavía no protege cada recurso y cuota mediante un resolver canónico [G5].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Persistencia y delivery:</w:t>
      </w:r>
      <w:r>
        <w:t xml:space="preserve"> </w:t>
      </w:r>
      <w:r>
        <w:t xml:space="preserve">proyectos, presets, assets, publicaciones y exports no forman aún un flujo cloud completo [G3, G7].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Trust readiness:</w:t>
      </w:r>
      <w:r>
        <w:t xml:space="preserve"> </w:t>
      </w:r>
      <w:r>
        <w:t xml:space="preserve">faltan legal center, licencias/provenance, aceptación versionada, observabilidad, backups verificados y quality gates completos.</w:t>
      </w:r>
    </w:p>
    <w:p>
      <w:pPr>
        <w:pStyle w:val="FirstParagraph"/>
      </w:pPr>
      <w:r>
        <w:rPr>
          <w:b/>
          <w:bCs/>
        </w:rPr>
        <w:t xml:space="preserve">Conclusión:</w:t>
      </w:r>
      <w:r>
        <w:t xml:space="preserve"> </w:t>
      </w:r>
      <w:r>
        <w:t xml:space="preserve">el producto está en una fase de</w:t>
      </w:r>
      <w:r>
        <w:t xml:space="preserve"> </w:t>
      </w:r>
      <w:r>
        <w:rPr>
          <w:i/>
          <w:iCs/>
        </w:rPr>
        <w:t xml:space="preserve">pre-paid-beta</w:t>
      </w:r>
      <w:r>
        <w:t xml:space="preserve">. La calidad visual es un activo de primer nivel; la madurez SaaS global es aproximadamente</w:t>
      </w:r>
      <w:r>
        <w:t xml:space="preserve"> </w:t>
      </w:r>
      <w:r>
        <w:rPr>
          <w:b/>
          <w:bCs/>
        </w:rPr>
        <w:t xml:space="preserve">2,0/5</w:t>
      </w:r>
      <w:r>
        <w:t xml:space="preserve">. El siguiente objetivo no es</w:t>
      </w:r>
      <w:r>
        <w:t xml:space="preserve"> </w:t>
      </w:r>
      <w:r>
        <w:t xml:space="preserve">“</w:t>
      </w:r>
      <w:r>
        <w:t xml:space="preserve">enterprise features</w:t>
      </w:r>
      <w:r>
        <w:t xml:space="preserve">”</w:t>
      </w:r>
      <w:r>
        <w:t xml:space="preserve">, sino</w:t>
      </w:r>
      <w:r>
        <w:t xml:space="preserve"> </w:t>
      </w:r>
      <w:r>
        <w:rPr>
          <w:b/>
          <w:bCs/>
        </w:rPr>
        <w:t xml:space="preserve">enterprise-grade execution discipline</w:t>
      </w:r>
      <w:r>
        <w:t xml:space="preserve"> </w:t>
      </w:r>
      <w:r>
        <w:t xml:space="preserve">para lanzar una paid beta segura.</w:t>
      </w:r>
    </w:p>
    <w:p>
      <w:pPr>
        <w:pStyle w:val="CaptionedFigure"/>
        <w:spacing w:before="80" w:after="120"/>
        <w:jc w:val="center"/>
      </w:pPr>
      <w:r>
        <w:drawing>
          <wp:inline>
            <wp:extent cx="5669280" cy="3380558"/>
            <wp:effectExtent b="0" l="0" r="0" t="0"/>
            <wp:docPr descr="Madurez auditada" title="" id="26" name="Picture"/>
            <a:graphic>
              <a:graphicData uri="http://schemas.openxmlformats.org/drawingml/2006/picture">
                <pic:pic>
                  <pic:nvPicPr>
                    <pic:cNvPr descr="assets/matur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38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Madurez auditada</w:t>
      </w:r>
    </w:p>
    <w:bookmarkEnd w:id="28"/>
    <w:bookmarkStart w:id="29" w:name="decisión-estratégica-central"/>
    <w:p>
      <w:pPr>
        <w:pStyle w:val="Heading2"/>
        <w:keepNext/>
        <w:widowControl/>
      </w:pPr>
      <w:r>
        <w:t xml:space="preserve">1.2 Decisión estratégica central</w:t>
      </w:r>
    </w:p>
    <w:p>
      <w:pPr>
        <w:pStyle w:val="FirstParagraph"/>
      </w:pPr>
      <w:r>
        <w:t xml:space="preserve">Escaparates Pro debe posicionarse como:</w:t>
      </w:r>
    </w:p>
    <w:p>
      <w:pPr>
        <w:pStyle w:val="BlockText"/>
        <w:pBdr>
          <w:left w:val="single" w:sz="18" w:space="8" w:color="2563EB"/>
        </w:pBdr>
        <w:shd w:fill="EFF6FF"/>
      </w:pPr>
      <w:r>
        <w:rPr>
          <w:b/>
          <w:bCs/>
        </w:rPr>
        <w:t xml:space="preserve">Plataforma de producción y entrega de experiencias visuales comerciales, que convierte imágenes y vídeos de una marca en piezas interactivas, publicables y reutilizables sin depender de WebGL, motion design o desarrollo a medida.</w:t>
      </w:r>
    </w:p>
    <w:p>
      <w:pPr>
        <w:pStyle w:val="FirstParagraph"/>
      </w:pPr>
      <w:r>
        <w:t xml:space="preserve">No debe venderse como una colección de efectos. El usuario compra un resultado: un hero, campaña, módulo web, embed, pieza de signage o asset social listo para usar.</w:t>
      </w:r>
    </w:p>
    <w:bookmarkEnd w:id="29"/>
    <w:bookmarkStart w:id="30" w:name="cuña-inicial-de-mercado"/>
    <w:p>
      <w:pPr>
        <w:pStyle w:val="Heading2"/>
        <w:keepNext/>
        <w:widowControl/>
      </w:pPr>
      <w:r>
        <w:t xml:space="preserve">1.3 Cuña inicial de mercado</w:t>
      </w:r>
    </w:p>
    <w:p>
      <w:pPr>
        <w:pStyle w:val="FirstParagraph"/>
      </w:pPr>
      <w:r>
        <w:t xml:space="preserve">La cuña recomendada es más estrecha que la versión 1.0:</w:t>
      </w:r>
    </w:p>
    <w:p>
      <w:pPr>
        <w:pStyle w:val="Compact"/>
        <w:numPr>
          <w:ilvl w:val="0"/>
          <w:numId w:val="1003"/>
        </w:numPr>
      </w:pPr>
      <w:r>
        <w:t xml:space="preserve">agencias web pequeñas;</w:t>
      </w:r>
    </w:p>
    <w:p>
      <w:pPr>
        <w:pStyle w:val="Compact"/>
        <w:numPr>
          <w:ilvl w:val="0"/>
          <w:numId w:val="1003"/>
        </w:numPr>
      </w:pPr>
      <w:r>
        <w:t xml:space="preserve">freelancers y diseñadores web;</w:t>
      </w:r>
    </w:p>
    <w:p>
      <w:pPr>
        <w:pStyle w:val="Compact"/>
        <w:numPr>
          <w:ilvl w:val="0"/>
          <w:numId w:val="1003"/>
        </w:numPr>
      </w:pPr>
      <w:r>
        <w:t xml:space="preserve">estudios creativos con varios clientes;</w:t>
      </w:r>
    </w:p>
    <w:p>
      <w:pPr>
        <w:pStyle w:val="Compact"/>
        <w:numPr>
          <w:ilvl w:val="0"/>
          <w:numId w:val="1003"/>
        </w:numPr>
      </w:pPr>
      <w:r>
        <w:t xml:space="preserve">ecommerce y marcas visuales con campañas recurrentes.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i/>
          <w:iCs/>
        </w:rPr>
        <w:t xml:space="preserve">job to be done</w:t>
      </w:r>
      <w:r>
        <w:t xml:space="preserve"> </w:t>
      </w:r>
      <w:r>
        <w:t xml:space="preserve">inicial es:</w:t>
      </w:r>
    </w:p>
    <w:p>
      <w:pPr>
        <w:pStyle w:val="BlockText"/>
        <w:pBdr>
          <w:left w:val="single" w:sz="18" w:space="8" w:color="2563EB"/>
        </w:pBdr>
        <w:shd w:fill="EFF6FF"/>
      </w:pPr>
      <w:r>
        <w:t xml:space="preserve">“</w:t>
      </w:r>
      <w:r>
        <w:t xml:space="preserve">Con los assets que ya tengo, necesito crear, aprobar y publicar una experiencia visual premium para un cliente o campaña en menos de 20 minutos, sin programar y sin entregar el editor.</w:t>
      </w:r>
      <w:r>
        <w:t xml:space="preserve">”</w:t>
      </w:r>
    </w:p>
    <w:p>
      <w:pPr>
        <w:pStyle w:val="FirstParagraph"/>
      </w:pPr>
      <w:r>
        <w:t xml:space="preserve">Retail, hoteles, inmobiliarias y restaurantes son verticales de demostración, no productos separados durante el MVP.</w:t>
      </w:r>
    </w:p>
    <w:bookmarkEnd w:id="30"/>
    <w:bookmarkStart w:id="31" w:name="north-star-y-promesa-operativa"/>
    <w:p>
      <w:pPr>
        <w:pStyle w:val="Heading2"/>
        <w:keepNext/>
        <w:widowControl/>
      </w:pPr>
      <w:r>
        <w:t xml:space="preserve">1.4 North Star y promesa operativa</w:t>
      </w:r>
    </w:p>
    <w:p>
      <w:pPr>
        <w:pStyle w:val="FirstParagraph"/>
      </w:pPr>
      <w:r>
        <w:rPr>
          <w:b/>
          <w:bCs/>
        </w:rPr>
        <w:t xml:space="preserve">North Star:</w:t>
      </w:r>
      <w:r>
        <w:t xml:space="preserve"> </w:t>
      </w:r>
      <w:r>
        <w:t xml:space="preserve">experiencias profesionales publicadas o exportadas con éxito por workspace activo al mes.</w:t>
      </w:r>
    </w:p>
    <w:p>
      <w:pPr>
        <w:pStyle w:val="BodyText"/>
      </w:pPr>
      <w:r>
        <w:t xml:space="preserve">Una experiencia cuenta sólo si:</w:t>
      </w:r>
    </w:p>
    <w:p>
      <w:pPr>
        <w:pStyle w:val="Compact"/>
        <w:numPr>
          <w:ilvl w:val="0"/>
          <w:numId w:val="1004"/>
        </w:numPr>
      </w:pPr>
      <w:r>
        <w:t xml:space="preserve">nace de un proyecto persistido;</w:t>
      </w:r>
    </w:p>
    <w:p>
      <w:pPr>
        <w:pStyle w:val="Compact"/>
        <w:numPr>
          <w:ilvl w:val="0"/>
          <w:numId w:val="1004"/>
        </w:numPr>
      </w:pPr>
      <w:r>
        <w:t xml:space="preserve">supera validación;</w:t>
      </w:r>
    </w:p>
    <w:p>
      <w:pPr>
        <w:pStyle w:val="Compact"/>
        <w:numPr>
          <w:ilvl w:val="0"/>
          <w:numId w:val="1004"/>
        </w:numPr>
      </w:pPr>
      <w:r>
        <w:t xml:space="preserve">genera un export descargable o una publicación estable;</w:t>
      </w:r>
    </w:p>
    <w:p>
      <w:pPr>
        <w:pStyle w:val="Compact"/>
        <w:numPr>
          <w:ilvl w:val="0"/>
          <w:numId w:val="1004"/>
        </w:numPr>
      </w:pPr>
      <w:r>
        <w:t xml:space="preserve">no contiene el editor;</w:t>
      </w:r>
    </w:p>
    <w:p>
      <w:pPr>
        <w:pStyle w:val="Compact"/>
        <w:numPr>
          <w:ilvl w:val="0"/>
          <w:numId w:val="1004"/>
        </w:numPr>
      </w:pPr>
      <w:r>
        <w:t xml:space="preserve">está vinculada a un workspace y a un evento de uso auditable.</w:t>
      </w:r>
    </w:p>
    <w:bookmarkEnd w:id="31"/>
    <w:bookmarkEnd w:id="32"/>
    <w:bookmarkStart w:id="33" w:name="Xc75275698067e995a2774c585625bf1a45b56aa"/>
    <w:p>
      <w:pPr>
        <w:pStyle w:val="Heading1"/>
        <w:keepNext/>
        <w:widowControl/>
        <w:pageBreakBefore/>
      </w:pPr>
      <w:r>
        <w:br w:type="page"/>
      </w:r>
      <w:r>
        <w:t xml:space="preserve">2. Qué cambia respecto al Documento Maestro v1.0</w:t>
      </w:r>
    </w:p>
    <w:p>
      <w:pPr>
        <w:pStyle w:val="FirstParagraph"/>
      </w:pPr>
      <w:r>
        <w:t xml:space="preserve">La versión 1.0 definía correctamente el objetivo de convertir el editor en SaaS, proteger el frontend, añadir backend, storage, pagos y automatización [B1]. Su principal limitación es temporal: describía backend, base de datos, auth y pagos como inexistentes, mientras el repositorio ya ha implementado parcialmente esas fases. También mezclaba visión, hipótesis comerciales y tareas técnicas sin contratos de aceptación.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749"/>
        <w:gridCol w:w="3304"/>
        <w:gridCol w:w="4665"/>
      </w:tblGrid>
      <w:tr>
        <w:trPr>
          <w:tblHeader w:val="on"/>
          <w:tblHeader w:val="true"/>
          <w:cantSplit/>
        </w:trP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Área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Versión 1.0</w:t>
            </w:r>
          </w:p>
        </w:tc>
        <w:tc>
          <w:tcPr>
            <w:tcW w:type="dxa" w:w="4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Versión 2.0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Estado actual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Snapshot anterior al backend</w:t>
            </w:r>
          </w:p>
        </w:tc>
        <w:tc>
          <w:tcPr>
            <w:tcW w:type="dxa" w:w="4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Auditoría por commit, PR y archivo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Roadmap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15 fases lineales</w:t>
            </w:r>
          </w:p>
        </w:tc>
        <w:tc>
          <w:tcPr>
            <w:tcW w:type="dxa" w:w="4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Release gates, dependencias, Definition of Done y triggers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Arquitectura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Componentes generales</w:t>
            </w:r>
          </w:p>
        </w:tc>
        <w:tc>
          <w:tcPr>
            <w:tcW w:type="dxa" w:w="4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Monolito modular, contratos, estados y límites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Datos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Lista conceptual de tablas</w:t>
            </w:r>
          </w:p>
        </w:tc>
        <w:tc>
          <w:tcPr>
            <w:tcW w:type="dxa" w:w="4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Modelo operativo, ledger, outbox, legal y AI runs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Billing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Stripe + webhooks como objetivo</w:t>
            </w:r>
          </w:p>
        </w:tc>
        <w:tc>
          <w:tcPr>
            <w:tcW w:type="dxa" w:w="4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Lifecycle completo, reconciliación y entitlement projection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Seguridad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Checklist general</w:t>
            </w:r>
          </w:p>
        </w:tc>
        <w:tc>
          <w:tcPr>
            <w:tcW w:type="dxa" w:w="4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P0 concretos sobre tokens, URLs, uploads, tenant y supply chain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IA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Descripción funcional</w:t>
            </w:r>
          </w:p>
        </w:tc>
        <w:tc>
          <w:tcPr>
            <w:tcW w:type="dxa" w:w="4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Pipeline estructurado, evaluación, coste, provenance y no-code execution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Legal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GDPR genérico</w:t>
            </w:r>
          </w:p>
        </w:tc>
        <w:tc>
          <w:tcPr>
            <w:tcW w:type="dxa" w:w="4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Legal &amp; Trust Center, aceptación versionada, DPA, cookies, IP y takedown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Agentes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“</w:t>
            </w:r>
            <w:r>
              <w:rPr>
                <w:rFonts w:ascii="Aptos" w:hAnsi="Aptos"/>
                <w:color w:val="1E293B"/>
                <w:sz w:val="16"/>
              </w:rPr>
              <w:t xml:space="preserve">Codex implementa, Claude revisa</w:t>
            </w:r>
            <w:r>
              <w:rPr>
                <w:rFonts w:ascii="Aptos" w:hAnsi="Aptos"/>
                <w:color w:val="1E293B"/>
                <w:sz w:val="16"/>
              </w:rPr>
              <w:t xml:space="preserve">”</w:t>
            </w:r>
          </w:p>
        </w:tc>
        <w:tc>
          <w:tcPr>
            <w:tcW w:type="dxa" w:w="4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Contrato de tarea, ramas, PR, evidencias, no-go y revisión independiente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Pricing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Cinco planes desde el inicio</w:t>
            </w:r>
          </w:p>
        </w:tc>
        <w:tc>
          <w:tcPr>
            <w:tcW w:type="dxa" w:w="4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Catálogo objetivo separado del catálogo de lanzamiento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Proyecciones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Escenarios MRR ilustrativos</w:t>
            </w:r>
          </w:p>
        </w:tc>
        <w:tc>
          <w:tcPr>
            <w:tcW w:type="dxa" w:w="466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Modelo de inputs, unit economics y experimentos falsables</w:t>
            </w:r>
          </w:p>
        </w:tc>
      </w:tr>
    </w:tbl>
    <w:bookmarkEnd w:id="33"/>
    <w:bookmarkStart w:id="37" w:name="estado-real-del-repositorio"/>
    <w:p>
      <w:pPr>
        <w:pStyle w:val="Heading1"/>
        <w:keepNext/>
        <w:widowControl/>
        <w:pageBreakBefore/>
      </w:pPr>
      <w:r>
        <w:br w:type="page"/>
      </w:r>
      <w:r>
        <w:t xml:space="preserve">3. Estado real del repositorio</w:t>
      </w:r>
    </w:p>
    <w:bookmarkStart w:id="34" w:name="baseline-auditada"/>
    <w:p>
      <w:pPr>
        <w:pStyle w:val="Heading2"/>
        <w:keepNext/>
        <w:widowControl/>
      </w:pPr>
      <w:r>
        <w:t xml:space="preserve">3.1 Baseline auditada</w:t>
      </w:r>
    </w:p>
    <w:p>
      <w:pPr>
        <w:pStyle w:val="Compact"/>
        <w:numPr>
          <w:ilvl w:val="0"/>
          <w:numId w:val="1005"/>
        </w:numPr>
      </w:pPr>
      <w:r>
        <w:t xml:space="preserve">Repositorio público:</w:t>
      </w:r>
      <w:r>
        <w:t xml:space="preserve"> </w:t>
      </w:r>
      <w:r>
        <w:rPr>
          <w:rStyle w:val="VerbatimChar"/>
        </w:rPr>
        <w:t xml:space="preserve">Juanmaes83/escaparates-pro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Rama por defecto: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Commit auditado:</w:t>
      </w:r>
      <w:r>
        <w:t xml:space="preserve"> </w:t>
      </w:r>
      <w:r>
        <w:rPr>
          <w:rStyle w:val="VerbatimChar"/>
        </w:rPr>
        <w:t xml:space="preserve">cc3a8002...</w:t>
      </w:r>
      <w:r>
        <w:t xml:space="preserve">, merge del PR #11.</w:t>
      </w:r>
    </w:p>
    <w:p>
      <w:pPr>
        <w:pStyle w:val="Compact"/>
        <w:numPr>
          <w:ilvl w:val="0"/>
          <w:numId w:val="1005"/>
        </w:numPr>
      </w:pPr>
      <w:r>
        <w:t xml:space="preserve">Frontend: aplicación visual estática y modular basada en scripts globales</w:t>
      </w:r>
      <w:r>
        <w:t xml:space="preserve"> </w:t>
      </w:r>
      <w:r>
        <w:rPr>
          <w:rStyle w:val="VerbatimChar"/>
        </w:rPr>
        <w:t xml:space="preserve">window.EP</w:t>
      </w:r>
      <w:r>
        <w:t xml:space="preserve">, con múltiples modos y viewers en iframe.</w:t>
      </w:r>
    </w:p>
    <w:p>
      <w:pPr>
        <w:pStyle w:val="Compact"/>
        <w:numPr>
          <w:ilvl w:val="0"/>
          <w:numId w:val="1005"/>
        </w:numPr>
      </w:pPr>
      <w:r>
        <w:t xml:space="preserve">Backend:</w:t>
      </w:r>
      <w:r>
        <w:t xml:space="preserve"> </w:t>
      </w:r>
      <w:r>
        <w:rPr>
          <w:rStyle w:val="VerbatimChar"/>
        </w:rPr>
        <w:t xml:space="preserve">apps/api</w:t>
      </w:r>
      <w:r>
        <w:t xml:space="preserve">, Node 20, TypeScript, Fastify, Drizzle, PostgreSQL, Zod, Pino y Stripe.</w:t>
      </w:r>
    </w:p>
    <w:p>
      <w:pPr>
        <w:pStyle w:val="Compact"/>
        <w:numPr>
          <w:ilvl w:val="0"/>
          <w:numId w:val="1005"/>
        </w:numPr>
      </w:pPr>
      <w:r>
        <w:t xml:space="preserve">Despliegue observado: previews Vercel para frontend y API staging en Railway.</w:t>
      </w:r>
    </w:p>
    <w:bookmarkEnd w:id="34"/>
    <w:bookmarkStart w:id="35" w:name="X1487bf20230c5bfd2491ec349a73b6870903fbe"/>
    <w:p>
      <w:pPr>
        <w:pStyle w:val="Heading2"/>
        <w:keepNext/>
        <w:widowControl/>
        <w:pageBreakBefore/>
      </w:pPr>
      <w:r>
        <w:br w:type="page"/>
      </w:r>
      <w:r>
        <w:t xml:space="preserve">3.2 Matriz</w:t>
      </w:r>
      <w:r>
        <w:t xml:space="preserve"> </w:t>
      </w:r>
      <w:r>
        <w:t xml:space="preserve">“</w:t>
      </w:r>
      <w:r>
        <w:t xml:space="preserve">implementado / parcial / no implementado</w:t>
      </w:r>
      <w:r>
        <w:t xml:space="preserve">”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749"/>
        <w:gridCol w:w="1166"/>
        <w:gridCol w:w="2916"/>
        <w:gridCol w:w="3888"/>
      </w:tblGrid>
      <w:tr>
        <w:trPr>
          <w:tblHeader w:val="on"/>
          <w:tblHeader w:val="true"/>
          <w:cantSplit/>
        </w:trP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Dominio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Estado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Evidencia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Evaluación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Editor visual y catálogo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Implementado avanzado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README enumera efectos, 25 módulos web y blueprints [G3]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Diferenciador principal; proteger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API foundation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Implementado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Helmet, CORS allowlist, rate limit, request ID y rutas [G8]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Buena base, aún sin modularización de dominio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PostgreSQL y migraciones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Implementado base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Tablas SaaS iniciales y migraciones versionadas [G7]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Faltan tablas operativas críticas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Auth email/password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Parcial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Register/login/me/logout y token hasheado en DB [G10]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Falta verificación, reset, rotación, cookie segura y sesiones por dispositivo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Workspace por defecto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Parcial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Se crea workspace Free y miembro owner [G11]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La lectura primaria sólo busca workspaces propiedad del usuario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Plan gate frontend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Parcial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Demo/Free/Pro y bloqueo visual [G5]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No es control de seguridad ni cuota autoritativa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Stripe Checkout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Parcial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Un único plan</w:t>
            </w:r>
            <w:r>
              <w:rPr>
                <w:rFonts w:ascii="Aptos" w:hAnsi="Aptos"/>
                <w:color w:val="1E293B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pro</w:t>
            </w:r>
            <w:r>
              <w:rPr>
                <w:rFonts w:ascii="Aptos" w:hAnsi="Aptos"/>
                <w:color w:val="1E293B"/>
                <w:sz w:val="15"/>
              </w:rPr>
              <w:t xml:space="preserve"> </w:t>
            </w:r>
            <w:r>
              <w:rPr>
                <w:rFonts w:ascii="Aptos" w:hAnsi="Aptos"/>
                <w:color w:val="1E293B"/>
                <w:sz w:val="15"/>
              </w:rPr>
              <w:t xml:space="preserve">y una price env [G6]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Sin webhooks, portal, impuestos ni reconciliación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Proyectos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Schema parcial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projects</w:t>
            </w:r>
            <w:r>
              <w:rPr>
                <w:rFonts w:ascii="Aptos" w:hAnsi="Aptos"/>
                <w:color w:val="1E293B"/>
                <w:sz w:val="15"/>
              </w:rPr>
              <w:t xml:space="preserve"> </w:t>
            </w:r>
            <w:r>
              <w:rPr>
                <w:rFonts w:ascii="Aptos" w:hAnsi="Aptos"/>
                <w:color w:val="1E293B"/>
                <w:sz w:val="15"/>
              </w:rPr>
              <w:t xml:space="preserve">y</w:t>
            </w:r>
            <w:r>
              <w:rPr>
                <w:rFonts w:ascii="Aptos" w:hAnsi="Aptos"/>
                <w:color w:val="1E293B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project_versions</w:t>
            </w:r>
            <w:r>
              <w:rPr>
                <w:rFonts w:ascii="Aptos" w:hAnsi="Aptos"/>
                <w:color w:val="1E293B"/>
                <w:sz w:val="15"/>
              </w:rPr>
              <w:t xml:space="preserve"> </w:t>
            </w:r>
            <w:r>
              <w:rPr>
                <w:rFonts w:ascii="Aptos" w:hAnsi="Aptos"/>
                <w:color w:val="1E293B"/>
                <w:sz w:val="15"/>
              </w:rPr>
              <w:t xml:space="preserve">existen [G7]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Sin endpoints, autosave, conflicto, importación ni UI cloud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Presets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Schema parcial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Tabla existe; frontend conserva</w:t>
            </w:r>
            <w:r>
              <w:rPr>
                <w:rFonts w:ascii="Aptos" w:hAnsi="Aptos"/>
                <w:color w:val="1E293B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ep_presets_v1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Sin sync ni migración segura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Assets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No SaaS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Media vive en data URLs/object URLs del navegador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Sin storage, seguridad, cuotas o lifecycle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Publish / embed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Demo local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README indica URL local temporal [G3]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Sin release inmutable, revocación o CDN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Export registry/worker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No implementado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Export browser-only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Sin historial, jobs, retry, coste o artifacts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Créditos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No implementado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Sólo concepto y usage counters genéricos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Requiere ledger append-only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Observabilidad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Base mínima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Logs estructurados y request ID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Sin trazas, métricas, alertas ni SLOs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CI/CD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Parcial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CI ejecuta install, typecheck y build [G9]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No ejecuta tests, lint, seguridad ni E2E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Legal/compliance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No implementado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No se encontró legal center ni registros de aceptación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Bloqueador para pagos públicos</w:t>
            </w:r>
          </w:p>
        </w:tc>
      </w:tr>
      <w:tr>
        <w:tc>
          <w:tcPr>
            <w:tcW w:type="dxa" w:w="1749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IA Campaign Builder</w:t>
            </w:r>
          </w:p>
        </w:tc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No implementado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Visión de producto</w:t>
            </w:r>
          </w:p>
        </w:tc>
        <w:tc>
          <w:tcPr>
            <w:tcW w:type="dxa" w:w="388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Debe esperar a contratos y coste</w:t>
            </w:r>
          </w:p>
        </w:tc>
      </w:tr>
    </w:tbl>
    <w:bookmarkEnd w:id="35"/>
    <w:bookmarkStart w:id="36" w:name="hallazgos-p0"/>
    <w:p>
      <w:pPr>
        <w:pStyle w:val="Heading2"/>
        <w:keepNext/>
        <w:widowControl/>
        <w:pageBreakBefore/>
      </w:pPr>
      <w:r>
        <w:br w:type="page"/>
      </w:r>
      <w:r>
        <w:t xml:space="preserve">3.3 Hallazgos P0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166"/>
        <w:gridCol w:w="2332"/>
        <w:gridCol w:w="2430"/>
        <w:gridCol w:w="3790"/>
      </w:tblGrid>
      <w:tr>
        <w:trPr>
          <w:tblHeader w:val="on"/>
          <w:tblHeader w:val="true"/>
          <w:cantSplit/>
        </w:trPr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ID</w:t>
            </w:r>
          </w:p>
        </w:tc>
        <w:tc>
          <w:tcPr>
            <w:tcW w:type="dxa" w:w="23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Hallazgo</w:t>
            </w:r>
          </w:p>
        </w:tc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Riesgo</w:t>
            </w:r>
          </w:p>
        </w:tc>
        <w:tc>
          <w:tcPr>
            <w:tcW w:type="dxa" w:w="37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Corrección exigida antes de paid beta</w:t>
            </w:r>
          </w:p>
        </w:tc>
      </w:tr>
      <w:tr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AUTH-P0-01</w:t>
            </w:r>
          </w:p>
        </w:tc>
        <w:tc>
          <w:tcPr>
            <w:tcW w:type="dxa" w:w="23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Refresh token en</w:t>
            </w:r>
            <w:r>
              <w:rPr>
                <w:rFonts w:ascii="Aptos" w:hAnsi="Aptos"/>
                <w:color w:val="1E293B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localStorage</w:t>
            </w:r>
            <w:r>
              <w:rPr>
                <w:rFonts w:ascii="Aptos" w:hAnsi="Aptos"/>
                <w:color w:val="1E293B"/>
                <w:sz w:val="15"/>
              </w:rPr>
              <w:t xml:space="preserve"> </w:t>
            </w:r>
            <w:r>
              <w:rPr>
                <w:rFonts w:ascii="Aptos" w:hAnsi="Aptos"/>
                <w:color w:val="1E293B"/>
                <w:sz w:val="15"/>
              </w:rPr>
              <w:t xml:space="preserve">[G4]</w:t>
            </w:r>
          </w:p>
        </w:tc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Robo de sesión vía XSS</w:t>
            </w:r>
          </w:p>
        </w:tc>
        <w:tc>
          <w:tcPr>
            <w:tcW w:type="dxa" w:w="37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Cookie Secure HttpOnly same-site o access token corto en memoria + refresh cookie rotatorio</w:t>
            </w:r>
          </w:p>
        </w:tc>
      </w:tr>
      <w:tr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BILL-P0-01</w:t>
            </w:r>
          </w:p>
        </w:tc>
        <w:tc>
          <w:tcPr>
            <w:tcW w:type="dxa" w:w="23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Checkout sin webhook [G6]</w:t>
            </w:r>
          </w:p>
        </w:tc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Acceso desincronizado, fraude, impagos no reflejados</w:t>
            </w:r>
          </w:p>
        </w:tc>
        <w:tc>
          <w:tcPr>
            <w:tcW w:type="dxa" w:w="37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Endpoint firmado, event store, handlers idempotentes, reconciliación</w:t>
            </w:r>
          </w:p>
        </w:tc>
      </w:tr>
      <w:tr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BILL-P0-02</w:t>
            </w:r>
          </w:p>
        </w:tc>
        <w:tc>
          <w:tcPr>
            <w:tcW w:type="dxa" w:w="23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successUrl</w:t>
            </w:r>
            <w:r>
              <w:rPr>
                <w:rFonts w:ascii="Aptos" w:hAnsi="Aptos"/>
                <w:color w:val="1E293B"/>
                <w:sz w:val="15"/>
              </w:rPr>
              <w:t xml:space="preserve"> </w:t>
            </w:r>
            <w:r>
              <w:rPr>
                <w:rFonts w:ascii="Aptos" w:hAnsi="Aptos"/>
                <w:color w:val="1E293B"/>
                <w:sz w:val="15"/>
              </w:rPr>
              <w:t xml:space="preserve">y</w:t>
            </w:r>
            <w:r>
              <w:rPr>
                <w:rFonts w:ascii="Aptos" w:hAnsi="Aptos"/>
                <w:color w:val="1E293B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cancelUrl</w:t>
            </w:r>
            <w:r>
              <w:rPr>
                <w:rFonts w:ascii="Aptos" w:hAnsi="Aptos"/>
                <w:color w:val="1E293B"/>
                <w:sz w:val="15"/>
              </w:rPr>
              <w:t xml:space="preserve"> </w:t>
            </w:r>
            <w:r>
              <w:rPr>
                <w:rFonts w:ascii="Aptos" w:hAnsi="Aptos"/>
                <w:color w:val="1E293B"/>
                <w:sz w:val="15"/>
              </w:rPr>
              <w:t xml:space="preserve">aportadas por cliente [G6]</w:t>
            </w:r>
          </w:p>
        </w:tc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Open redirect / abuso de confianza</w:t>
            </w:r>
          </w:p>
        </w:tc>
        <w:tc>
          <w:tcPr>
            <w:tcW w:type="dxa" w:w="37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Allowlist de orígenes y construcción server-side</w:t>
            </w:r>
          </w:p>
        </w:tc>
      </w:tr>
      <w:tr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ENT-P0-01</w:t>
            </w:r>
          </w:p>
        </w:tc>
        <w:tc>
          <w:tcPr>
            <w:tcW w:type="dxa" w:w="23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Plan y límites principalmente en navegador [G5]</w:t>
            </w:r>
          </w:p>
        </w:tc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Bypass trivial</w:t>
            </w:r>
          </w:p>
        </w:tc>
        <w:tc>
          <w:tcPr>
            <w:tcW w:type="dxa" w:w="37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Resolver server-side por workspace y middleware por feature/quota</w:t>
            </w:r>
          </w:p>
        </w:tc>
      </w:tr>
      <w:tr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TENANT-P0-01</w:t>
            </w:r>
          </w:p>
        </w:tc>
        <w:tc>
          <w:tcPr>
            <w:tcW w:type="dxa" w:w="23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Workspace primario sólo por owner [G11]</w:t>
            </w:r>
          </w:p>
        </w:tc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Equipos y scoping incorrectos</w:t>
            </w:r>
          </w:p>
        </w:tc>
        <w:tc>
          <w:tcPr>
            <w:tcW w:type="dxa" w:w="37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Contexto de workspace seleccionado + membresía + rol</w:t>
            </w:r>
          </w:p>
        </w:tc>
      </w:tr>
      <w:tr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CI-P0-01</w:t>
            </w:r>
          </w:p>
        </w:tc>
        <w:tc>
          <w:tcPr>
            <w:tcW w:type="dxa" w:w="23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CI no ejecuta</w:t>
            </w:r>
            <w:r>
              <w:rPr>
                <w:rFonts w:ascii="Aptos" w:hAnsi="Aptos"/>
                <w:color w:val="1E293B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npm test</w:t>
            </w:r>
            <w:r>
              <w:rPr>
                <w:rFonts w:ascii="Aptos" w:hAnsi="Aptos"/>
                <w:color w:val="1E293B"/>
                <w:sz w:val="15"/>
              </w:rPr>
              <w:t xml:space="preserve"> </w:t>
            </w:r>
            <w:r>
              <w:rPr>
                <w:rFonts w:ascii="Aptos" w:hAnsi="Aptos"/>
                <w:color w:val="1E293B"/>
                <w:sz w:val="15"/>
              </w:rPr>
              <w:t xml:space="preserve">[G9]</w:t>
            </w:r>
          </w:p>
        </w:tc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Merge de regresiones conocidas</w:t>
            </w:r>
          </w:p>
        </w:tc>
        <w:tc>
          <w:tcPr>
            <w:tcW w:type="dxa" w:w="37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Tests requeridos + integración PostgreSQL + smoke frontend</w:t>
            </w:r>
          </w:p>
        </w:tc>
      </w:tr>
      <w:tr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DOC-P0-01</w:t>
            </w:r>
          </w:p>
        </w:tc>
        <w:tc>
          <w:tcPr>
            <w:tcW w:type="dxa" w:w="23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Documentos de arquitectura desactualizados</w:t>
            </w:r>
          </w:p>
        </w:tc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Agentes implementan sobre premisas falsas</w:t>
            </w:r>
          </w:p>
        </w:tc>
        <w:tc>
          <w:tcPr>
            <w:tcW w:type="dxa" w:w="37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current-state.md</w:t>
            </w:r>
            <w:r>
              <w:rPr>
                <w:rFonts w:ascii="Aptos" w:hAnsi="Aptos"/>
                <w:color w:val="1E293B"/>
                <w:sz w:val="15"/>
              </w:rPr>
              <w:t xml:space="preserve">, ADRs y OpenAPI en la misma PR</w:t>
            </w:r>
          </w:p>
        </w:tc>
      </w:tr>
      <w:tr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LEGAL-P0-01</w:t>
            </w:r>
          </w:p>
        </w:tc>
        <w:tc>
          <w:tcPr>
            <w:tcW w:type="dxa" w:w="23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Ausencia de Legal &amp; Trust Center</w:t>
            </w:r>
          </w:p>
        </w:tc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Cobro y tratamiento de datos sin base contractual clara</w:t>
            </w:r>
          </w:p>
        </w:tc>
        <w:tc>
          <w:tcPr>
            <w:tcW w:type="dxa" w:w="37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Documentos, CMP, aceptación versionada y revisión jurídica</w:t>
            </w:r>
          </w:p>
        </w:tc>
      </w:tr>
      <w:tr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LIC-P0-01</w:t>
            </w:r>
          </w:p>
        </w:tc>
        <w:tc>
          <w:tcPr>
            <w:tcW w:type="dxa" w:w="23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Repositorio público y estrategia de licencia ambigua</w:t>
            </w:r>
          </w:p>
        </w:tc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Copia, contribución y notices inconsistentes</w:t>
            </w:r>
          </w:p>
        </w:tc>
        <w:tc>
          <w:tcPr>
            <w:tcW w:type="dxa" w:w="37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Decidir private/proprietary/open-core y registrar terceros</w:t>
            </w:r>
          </w:p>
        </w:tc>
      </w:tr>
      <w:tr>
        <w:tc>
          <w:tcPr>
            <w:tcW w:type="dxa" w:w="116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OPS-P0-01</w:t>
            </w:r>
          </w:p>
        </w:tc>
        <w:tc>
          <w:tcPr>
            <w:tcW w:type="dxa" w:w="233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Endpoint HTTP de migración en staging y operación manual</w:t>
            </w:r>
          </w:p>
        </w:tc>
        <w:tc>
          <w:tcPr>
            <w:tcW w:type="dxa" w:w="243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Superficie administrativa y drift</w:t>
            </w:r>
          </w:p>
        </w:tc>
        <w:tc>
          <w:tcPr>
            <w:tcW w:type="dxa" w:w="3790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Job/CLI controlado, locks, checksums y bloqueo total en producción</w:t>
            </w:r>
          </w:p>
        </w:tc>
      </w:tr>
    </w:tbl>
    <w:bookmarkEnd w:id="36"/>
    <w:bookmarkEnd w:id="37"/>
    <w:bookmarkStart w:id="45" w:name="estrategia-de-producto"/>
    <w:p>
      <w:pPr>
        <w:pStyle w:val="Heading1"/>
        <w:keepNext/>
        <w:widowControl/>
        <w:pageBreakBefore/>
      </w:pPr>
      <w:r>
        <w:br w:type="page"/>
      </w:r>
      <w:r>
        <w:t xml:space="preserve">4. Estrategia de producto</w:t>
      </w:r>
    </w:p>
    <w:bookmarkStart w:id="38" w:name="taxonomía-del-producto"/>
    <w:p>
      <w:pPr>
        <w:pStyle w:val="Heading2"/>
        <w:keepNext/>
        <w:widowControl/>
      </w:pPr>
      <w:r>
        <w:t xml:space="preserve">4.1 Taxonomía del producto</w:t>
      </w:r>
    </w:p>
    <w:p>
      <w:pPr>
        <w:pStyle w:val="FirstParagraph"/>
      </w:pPr>
      <w:r>
        <w:t xml:space="preserve">La amplitud actual debe convertirse en una arquitectura de producto comprensible: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Studio:</w:t>
      </w:r>
      <w:r>
        <w:t xml:space="preserve"> </w:t>
      </w:r>
      <w:r>
        <w:t xml:space="preserve">editor y runtime visual.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Catalog:</w:t>
      </w:r>
      <w:r>
        <w:t xml:space="preserve"> </w:t>
      </w:r>
      <w:r>
        <w:t xml:space="preserve">efectos, scroll sections, website modules, blueprints y data stories.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Projects:</w:t>
      </w:r>
      <w:r>
        <w:t xml:space="preserve"> </w:t>
      </w:r>
      <w:r>
        <w:t xml:space="preserve">persistencia, versiones, presets, carpetas y clientes.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Assets:</w:t>
      </w:r>
      <w:r>
        <w:t xml:space="preserve"> </w:t>
      </w:r>
      <w:r>
        <w:t xml:space="preserve">media privada, variantes, reutilización y derechos.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Publish:</w:t>
      </w:r>
      <w:r>
        <w:t xml:space="preserve"> </w:t>
      </w:r>
      <w:r>
        <w:t xml:space="preserve">URL estable, release, embed, revocación y analytics.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Export:</w:t>
      </w:r>
      <w:r>
        <w:t xml:space="preserve"> </w:t>
      </w:r>
      <w:r>
        <w:t xml:space="preserve">formatos descargables, historial y jobs premium.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Review:</w:t>
      </w:r>
      <w:r>
        <w:t xml:space="preserve"> </w:t>
      </w:r>
      <w:r>
        <w:t xml:space="preserve">enlaces de cliente, comentarios y aprobación.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Director:</w:t>
      </w:r>
      <w:r>
        <w:t xml:space="preserve"> </w:t>
      </w:r>
      <w:r>
        <w:t xml:space="preserve">brief → CampaignPlan → variantes de ProjectDocument.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Admin &amp; Trust:</w:t>
      </w:r>
      <w:r>
        <w:t xml:space="preserve"> </w:t>
      </w:r>
      <w:r>
        <w:t xml:space="preserve">billing, equipo, auditoría, legal, soporte y estado.</w:t>
      </w:r>
    </w:p>
    <w:p>
      <w:pPr>
        <w:pStyle w:val="FirstParagraph"/>
      </w:pPr>
      <w:r>
        <w:t xml:space="preserve">Esta taxonomía debe reflejarse en navegación, dominios backend, entitlements, métricas y documentación.</w:t>
      </w:r>
    </w:p>
    <w:bookmarkEnd w:id="38"/>
    <w:bookmarkStart w:id="42" w:name="posicionamiento"/>
    <w:p>
      <w:pPr>
        <w:pStyle w:val="Heading2"/>
        <w:keepNext/>
        <w:widowControl/>
      </w:pPr>
      <w:r>
        <w:t xml:space="preserve">4.2 Posicionamiento</w:t>
      </w:r>
    </w:p>
    <w:bookmarkStart w:id="39" w:name="mensaje-principal"/>
    <w:p>
      <w:pPr>
        <w:pStyle w:val="Heading3"/>
        <w:keepNext/>
        <w:widowControl/>
      </w:pPr>
      <w:r>
        <w:t xml:space="preserve">Mensaje principal</w:t>
      </w:r>
    </w:p>
    <w:p>
      <w:pPr>
        <w:pStyle w:val="FirstParagraph"/>
      </w:pPr>
      <w:r>
        <w:rPr>
          <w:b/>
          <w:bCs/>
        </w:rPr>
        <w:t xml:space="preserve">Convierte los assets de una marca en experiencias visuales premium listas para publicar, embeber o entregar a clientes.</w:t>
      </w:r>
    </w:p>
    <w:bookmarkEnd w:id="39"/>
    <w:bookmarkStart w:id="40" w:name="mensaje-para-agencias"/>
    <w:p>
      <w:pPr>
        <w:pStyle w:val="Heading3"/>
        <w:keepNext/>
        <w:widowControl/>
      </w:pPr>
      <w:r>
        <w:t xml:space="preserve">Mensaje para agencias</w:t>
      </w:r>
    </w:p>
    <w:p>
      <w:pPr>
        <w:pStyle w:val="FirstParagraph"/>
      </w:pPr>
      <w:r>
        <w:rPr>
          <w:b/>
          <w:bCs/>
        </w:rPr>
        <w:t xml:space="preserve">Crea, aprueba y reutiliza visuales interactivos para clientes sin depender de motion designers o desarrolladores WebGL.</w:t>
      </w:r>
    </w:p>
    <w:bookmarkEnd w:id="40"/>
    <w:bookmarkStart w:id="41" w:name="lo-que-no-debe-prometer"/>
    <w:p>
      <w:pPr>
        <w:pStyle w:val="Heading3"/>
        <w:keepNext/>
        <w:widowControl/>
      </w:pPr>
      <w:r>
        <w:t xml:space="preserve">Lo que no debe prometer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t xml:space="preserve">Crea cualquier web completa con IA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t xml:space="preserve">Sustituye Canva, Webflow o After Effects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t xml:space="preserve">4K ilimitado</w:t>
      </w:r>
      <w:r>
        <w:t xml:space="preserve">”</w:t>
      </w:r>
      <w:r>
        <w:t xml:space="preserve"> </w:t>
      </w:r>
      <w:r>
        <w:t xml:space="preserve">sin coste medido.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w:r>
        <w:t xml:space="preserve">Enterprise</w:t>
      </w:r>
      <w:r>
        <w:t xml:space="preserve">”</w:t>
      </w:r>
      <w:r>
        <w:t xml:space="preserve"> </w:t>
      </w:r>
      <w:r>
        <w:t xml:space="preserve">antes de disponer de seguridad, soporte y procesos.</w:t>
      </w:r>
    </w:p>
    <w:p>
      <w:pPr>
        <w:pStyle w:val="Compact"/>
        <w:numPr>
          <w:ilvl w:val="0"/>
          <w:numId w:val="1007"/>
        </w:numPr>
      </w:pPr>
      <w:r>
        <w:t xml:space="preserve">Resultados de conversión o ventas no demostrados.</w:t>
      </w:r>
    </w:p>
    <w:bookmarkEnd w:id="41"/>
    <w:bookmarkEnd w:id="42"/>
    <w:bookmarkStart w:id="43" w:name="flujo-de-activación"/>
    <w:p>
      <w:pPr>
        <w:pStyle w:val="Heading2"/>
        <w:keepNext/>
        <w:widowControl/>
      </w:pPr>
      <w:r>
        <w:t xml:space="preserve">4.3 Flujo de activación</w:t>
      </w:r>
    </w:p>
    <w:p>
      <w:pPr>
        <w:pStyle w:val="Compact"/>
        <w:numPr>
          <w:ilvl w:val="0"/>
          <w:numId w:val="1008"/>
        </w:numPr>
      </w:pPr>
      <w:r>
        <w:t xml:space="preserve">Registro y verificación.</w:t>
      </w:r>
    </w:p>
    <w:p>
      <w:pPr>
        <w:pStyle w:val="Compact"/>
        <w:numPr>
          <w:ilvl w:val="0"/>
          <w:numId w:val="1008"/>
        </w:numPr>
      </w:pPr>
      <w:r>
        <w:t xml:space="preserve">Selección de objetivo: hero, campaña, embed, signage o social.</w:t>
      </w:r>
    </w:p>
    <w:p>
      <w:pPr>
        <w:pStyle w:val="Compact"/>
        <w:numPr>
          <w:ilvl w:val="0"/>
          <w:numId w:val="1008"/>
        </w:numPr>
      </w:pPr>
      <w:r>
        <w:t xml:space="preserve">Template/effect recomendado.</w:t>
      </w:r>
    </w:p>
    <w:p>
      <w:pPr>
        <w:pStyle w:val="Compact"/>
        <w:numPr>
          <w:ilvl w:val="0"/>
          <w:numId w:val="1008"/>
        </w:numPr>
      </w:pPr>
      <w:r>
        <w:t xml:space="preserve">Assets demo o upload propio.</w:t>
      </w:r>
    </w:p>
    <w:p>
      <w:pPr>
        <w:pStyle w:val="Compact"/>
        <w:numPr>
          <w:ilvl w:val="0"/>
          <w:numId w:val="1008"/>
        </w:numPr>
      </w:pPr>
      <w:r>
        <w:t xml:space="preserve">Personalización mínima.</w:t>
      </w:r>
    </w:p>
    <w:p>
      <w:pPr>
        <w:pStyle w:val="Compact"/>
        <w:numPr>
          <w:ilvl w:val="0"/>
          <w:numId w:val="1008"/>
        </w:numPr>
      </w:pPr>
      <w:r>
        <w:t xml:space="preserve">Preview válida.</w:t>
      </w:r>
    </w:p>
    <w:p>
      <w:pPr>
        <w:pStyle w:val="Compact"/>
        <w:numPr>
          <w:ilvl w:val="0"/>
          <w:numId w:val="1008"/>
        </w:numPr>
      </w:pPr>
      <w:r>
        <w:t xml:space="preserve">Guardado automático del proyecto.</w:t>
      </w:r>
    </w:p>
    <w:p>
      <w:pPr>
        <w:pStyle w:val="Compact"/>
        <w:numPr>
          <w:ilvl w:val="0"/>
          <w:numId w:val="1008"/>
        </w:numPr>
      </w:pPr>
      <w:r>
        <w:t xml:space="preserve">Export preview o publicación de prueba.</w:t>
      </w:r>
    </w:p>
    <w:p>
      <w:pPr>
        <w:pStyle w:val="Compact"/>
        <w:numPr>
          <w:ilvl w:val="0"/>
          <w:numId w:val="1008"/>
        </w:numPr>
      </w:pPr>
      <w:r>
        <w:t xml:space="preserve">Upsell contextual a Pro.</w:t>
      </w:r>
    </w:p>
    <w:p>
      <w:pPr>
        <w:pStyle w:val="FirstParagraph"/>
      </w:pPr>
      <w:r>
        <w:rPr>
          <w:b/>
          <w:bCs/>
        </w:rPr>
        <w:t xml:space="preserve">Evento de activación:</w:t>
      </w:r>
      <w:r>
        <w:t xml:space="preserve"> </w:t>
      </w:r>
      <w:r>
        <w:rPr>
          <w:rStyle w:val="VerbatimChar"/>
        </w:rPr>
        <w:t xml:space="preserve">project_first_value_completed</w:t>
      </w:r>
      <w:r>
        <w:t xml:space="preserve">, emitido cuando el usuario guarda un proyecto y consigue un export/publicación válida dentro de las primeras 24 horas.</w:t>
      </w:r>
    </w:p>
    <w:bookmarkEnd w:id="43"/>
    <w:bookmarkStart w:id="44" w:name="principios-de-producto"/>
    <w:p>
      <w:pPr>
        <w:pStyle w:val="Heading2"/>
        <w:keepNext/>
        <w:widowControl/>
      </w:pPr>
      <w:r>
        <w:t xml:space="preserve">4.4 Principios de producto</w:t>
      </w:r>
    </w:p>
    <w:p>
      <w:pPr>
        <w:pStyle w:val="Compact"/>
        <w:numPr>
          <w:ilvl w:val="0"/>
          <w:numId w:val="1009"/>
        </w:numPr>
      </w:pPr>
      <w:r>
        <w:t xml:space="preserve">Time-to-value menor de 10 minutos para una demo y menor de 20 para un asset propio.</w:t>
      </w:r>
    </w:p>
    <w:p>
      <w:pPr>
        <w:pStyle w:val="Compact"/>
        <w:numPr>
          <w:ilvl w:val="0"/>
          <w:numId w:val="1009"/>
        </w:numPr>
      </w:pPr>
      <w:r>
        <w:t xml:space="preserve">Progressive disclosure: controles avanzados sólo cuando aportan valor.</w:t>
      </w:r>
    </w:p>
    <w:p>
      <w:pPr>
        <w:pStyle w:val="Compact"/>
        <w:numPr>
          <w:ilvl w:val="0"/>
          <w:numId w:val="1009"/>
        </w:numPr>
      </w:pPr>
      <w:r>
        <w:t xml:space="preserve">Default de calidad: la plantilla debe verse bien sin ajustar 30 parámetros.</w:t>
      </w:r>
    </w:p>
    <w:p>
      <w:pPr>
        <w:pStyle w:val="Compact"/>
        <w:numPr>
          <w:ilvl w:val="0"/>
          <w:numId w:val="1009"/>
        </w:numPr>
      </w:pPr>
      <w:r>
        <w:t xml:space="preserve">Mobile fallback obligatorio; la experiencia no puede</w:t>
      </w:r>
      <w:r>
        <w:t xml:space="preserve"> </w:t>
      </w:r>
      <w:r>
        <w:t xml:space="preserve">“</w:t>
      </w:r>
      <w:r>
        <w:t xml:space="preserve">romperse silenciosamente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Reduced motion y pausa forman parte del producto, no de una auditoría posterior.</w:t>
      </w:r>
    </w:p>
    <w:p>
      <w:pPr>
        <w:pStyle w:val="Compact"/>
        <w:numPr>
          <w:ilvl w:val="0"/>
          <w:numId w:val="1009"/>
        </w:numPr>
      </w:pPr>
      <w:r>
        <w:t xml:space="preserve">El cliente final recibe viewer, nunca editor.</w:t>
      </w:r>
    </w:p>
    <w:p>
      <w:pPr>
        <w:pStyle w:val="Compact"/>
        <w:numPr>
          <w:ilvl w:val="0"/>
          <w:numId w:val="1009"/>
        </w:numPr>
      </w:pPr>
      <w:r>
        <w:t xml:space="preserve">Cada feature debe mapearse a activación, retención, monetización o reducción de riesgo.</w:t>
      </w:r>
    </w:p>
    <w:bookmarkEnd w:id="44"/>
    <w:bookmarkEnd w:id="45"/>
    <w:bookmarkStart w:id="53" w:name="modelo-de-negocio-y-pricing"/>
    <w:p>
      <w:pPr>
        <w:pStyle w:val="Heading1"/>
        <w:keepNext/>
        <w:widowControl/>
        <w:pageBreakBefore/>
      </w:pPr>
      <w:r>
        <w:br w:type="page"/>
      </w:r>
      <w:r>
        <w:t xml:space="preserve">5. Modelo de negocio y pricing</w:t>
      </w:r>
    </w:p>
    <w:bookmarkStart w:id="48" w:name="X64b357615022d82835982fe53dda2722dfb5d85"/>
    <w:p>
      <w:pPr>
        <w:pStyle w:val="Heading2"/>
        <w:keepNext/>
        <w:widowControl/>
      </w:pPr>
      <w:r>
        <w:t xml:space="preserve">5.1 Decisión: catálogo de lanzamiento vs catálogo objetivo</w:t>
      </w:r>
    </w:p>
    <w:p>
      <w:pPr>
        <w:pStyle w:val="FirstParagraph"/>
      </w:pPr>
      <w:r>
        <w:t xml:space="preserve">La versión 1.0 proponía Free, Creator, Pro, Studio y Enterprise. La estructura es válida a largo plazo, pero cinco planes desde el primer pago multiplican precios, webhooks, soporte, QA y confusión. Se recomienda:</w:t>
      </w:r>
    </w:p>
    <w:bookmarkStart w:id="46" w:name="catálogo-de-lanzamiento"/>
    <w:p>
      <w:pPr>
        <w:pStyle w:val="Heading3"/>
        <w:keepNext/>
        <w:widowControl/>
      </w:pPr>
      <w:r>
        <w:t xml:space="preserve">Catálogo de lanzamiento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Free/Demo:</w:t>
      </w:r>
      <w:r>
        <w:t xml:space="preserve"> </w:t>
      </w:r>
      <w:r>
        <w:t xml:space="preserve">adquisición y prueba.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Pro:</w:t>
      </w:r>
      <w:r>
        <w:t xml:space="preserve"> </w:t>
      </w:r>
      <w:r>
        <w:t xml:space="preserve">plan autoservicio principal.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Studio:</w:t>
      </w:r>
      <w:r>
        <w:t xml:space="preserve"> </w:t>
      </w:r>
      <w:r>
        <w:t xml:space="preserve">plan para agencias/equipos; puede iniciarse sales-assisted.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Enterprise:</w:t>
      </w:r>
      <w:r>
        <w:t xml:space="preserve"> </w:t>
      </w:r>
      <w:r>
        <w:t xml:space="preserve">contacto comercial, no autoservicio.</w:t>
      </w:r>
    </w:p>
    <w:bookmarkEnd w:id="46"/>
    <w:bookmarkStart w:id="47" w:name="experimento-posterior"/>
    <w:p>
      <w:pPr>
        <w:pStyle w:val="Heading3"/>
        <w:keepNext/>
        <w:widowControl/>
      </w:pPr>
      <w:r>
        <w:t xml:space="preserve">Experimento posterior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Creator (€19):</w:t>
      </w:r>
      <w:r>
        <w:t xml:space="preserve"> </w:t>
      </w:r>
      <w:r>
        <w:t xml:space="preserve">sólo se activa si entrevistas y datos muestran una barrera real entre Free y Pro. No debe construirse por intuición.</w:t>
      </w:r>
    </w:p>
    <w:p>
      <w:pPr>
        <w:pStyle w:val="FirstParagraph"/>
      </w:pPr>
      <w:r>
        <w:t xml:space="preserve">Los precios de referencia de la versión 1.0 —Pro 49 €, Studio 129 €, Enterprise desde 499 €— se conservan como hipótesis iniciales, no como verdad. Spline confirma un patrón de free limitado, export sin watermark, video/code export, créditos de IA y Enterprise con SSO, version history y soporte [M1]. Webflow confirma que publishing, governance, permisos, soporte y escala son unidades de valor, no sólo la edición [M2].</w:t>
      </w:r>
    </w:p>
    <w:bookmarkEnd w:id="47"/>
    <w:bookmarkEnd w:id="48"/>
    <w:bookmarkStart w:id="49" w:name="fuente-de-verdad-comercial"/>
    <w:p>
      <w:pPr>
        <w:pStyle w:val="Heading2"/>
        <w:keepNext/>
        <w:widowControl/>
      </w:pPr>
      <w:r>
        <w:t xml:space="preserve">5.2 Fuente de verdad comercial</w:t>
      </w:r>
    </w:p>
    <w:p>
      <w:pPr>
        <w:pStyle w:val="FirstParagraph"/>
      </w:pPr>
      <w:r>
        <w:t xml:space="preserve">Los planes no se codifican como condicionales dispersos. Deben existir: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products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prices</w:t>
      </w:r>
      <w:r>
        <w:t xml:space="preserve"> </w:t>
      </w:r>
      <w:r>
        <w:t xml:space="preserve">configurables;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plan_versions</w:t>
      </w:r>
      <w:r>
        <w:t xml:space="preserve"> </w:t>
      </w:r>
      <w:r>
        <w:t xml:space="preserve">inmutables;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features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plan_entitlements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workspace_subscriptions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entitlement_snapshots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overrides comerciales auditados;</w:t>
      </w:r>
    </w:p>
    <w:p>
      <w:pPr>
        <w:pStyle w:val="Compact"/>
        <w:numPr>
          <w:ilvl w:val="0"/>
          <w:numId w:val="1012"/>
        </w:numPr>
      </w:pPr>
      <w:r>
        <w:t xml:space="preserve">fecha de vigencia y grandfathering.</w:t>
      </w:r>
    </w:p>
    <w:p>
      <w:pPr>
        <w:pStyle w:val="FirstParagraph"/>
      </w:pPr>
      <w:r>
        <w:t xml:space="preserve">El frontend muestra la proyección recibida de</w:t>
      </w:r>
      <w:r>
        <w:t xml:space="preserve"> </w:t>
      </w:r>
      <w:r>
        <w:rPr>
          <w:rStyle w:val="VerbatimChar"/>
        </w:rPr>
        <w:t xml:space="preserve">/v1/entitlements</w:t>
      </w:r>
      <w:r>
        <w:t xml:space="preserve">; no interpreta directamente estados de Stripe.</w:t>
      </w:r>
    </w:p>
    <w:bookmarkEnd w:id="49"/>
    <w:bookmarkStart w:id="50" w:name="dimensiones-monetizables"/>
    <w:p>
      <w:pPr>
        <w:pStyle w:val="Heading2"/>
        <w:keepNext/>
        <w:widowControl/>
      </w:pPr>
      <w:r>
        <w:t xml:space="preserve">5.3 Dimensiones monetizables</w:t>
      </w:r>
    </w:p>
    <w:p>
      <w:pPr>
        <w:pStyle w:val="Compact"/>
        <w:numPr>
          <w:ilvl w:val="0"/>
          <w:numId w:val="1013"/>
        </w:numPr>
      </w:pPr>
      <w:r>
        <w:t xml:space="preserve">Acceso a efectos/módulos premium.</w:t>
      </w:r>
    </w:p>
    <w:p>
      <w:pPr>
        <w:pStyle w:val="Compact"/>
        <w:numPr>
          <w:ilvl w:val="0"/>
          <w:numId w:val="1013"/>
        </w:numPr>
      </w:pPr>
      <w:r>
        <w:t xml:space="preserve">Número de seats.</w:t>
      </w:r>
    </w:p>
    <w:p>
      <w:pPr>
        <w:pStyle w:val="Compact"/>
        <w:numPr>
          <w:ilvl w:val="0"/>
          <w:numId w:val="1013"/>
        </w:numPr>
      </w:pPr>
      <w:r>
        <w:t xml:space="preserve">Proyectos activos y versiones retenidas.</w:t>
      </w:r>
    </w:p>
    <w:p>
      <w:pPr>
        <w:pStyle w:val="Compact"/>
        <w:numPr>
          <w:ilvl w:val="0"/>
          <w:numId w:val="1013"/>
        </w:numPr>
      </w:pPr>
      <w:r>
        <w:t xml:space="preserve">Storage y egress.</w:t>
      </w:r>
    </w:p>
    <w:p>
      <w:pPr>
        <w:pStyle w:val="Compact"/>
        <w:numPr>
          <w:ilvl w:val="0"/>
          <w:numId w:val="1013"/>
        </w:numPr>
      </w:pPr>
      <w:r>
        <w:t xml:space="preserve">Publicaciones/embeds activos.</w:t>
      </w:r>
    </w:p>
    <w:p>
      <w:pPr>
        <w:pStyle w:val="Compact"/>
        <w:numPr>
          <w:ilvl w:val="0"/>
          <w:numId w:val="1013"/>
        </w:numPr>
      </w:pPr>
      <w:r>
        <w:t xml:space="preserve">Export premium y render server-side.</w:t>
      </w:r>
    </w:p>
    <w:p>
      <w:pPr>
        <w:pStyle w:val="Compact"/>
        <w:numPr>
          <w:ilvl w:val="0"/>
          <w:numId w:val="1013"/>
        </w:numPr>
      </w:pPr>
      <w:r>
        <w:t xml:space="preserve">AI runs.</w:t>
      </w:r>
    </w:p>
    <w:p>
      <w:pPr>
        <w:pStyle w:val="Compact"/>
        <w:numPr>
          <w:ilvl w:val="0"/>
          <w:numId w:val="1013"/>
        </w:numPr>
      </w:pPr>
      <w:r>
        <w:t xml:space="preserve">Review links y colaboración.</w:t>
      </w:r>
    </w:p>
    <w:p>
      <w:pPr>
        <w:pStyle w:val="Compact"/>
        <w:numPr>
          <w:ilvl w:val="0"/>
          <w:numId w:val="1013"/>
        </w:numPr>
      </w:pPr>
      <w:r>
        <w:t xml:space="preserve">Soporte, SLA, SSO, dominios y governance.</w:t>
      </w:r>
    </w:p>
    <w:bookmarkEnd w:id="50"/>
    <w:bookmarkStart w:id="51" w:name="créditos-recomendación-revisada"/>
    <w:p>
      <w:pPr>
        <w:pStyle w:val="Heading2"/>
        <w:keepNext/>
        <w:widowControl/>
      </w:pPr>
      <w:r>
        <w:t xml:space="preserve">5.4 Créditos: recomendación revisada</w:t>
      </w:r>
    </w:p>
    <w:p>
      <w:pPr>
        <w:pStyle w:val="FirstParagraph"/>
      </w:pPr>
      <w:r>
        <w:t xml:space="preserve">No mezclar tres conceptos: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Quota:</w:t>
      </w:r>
      <w:r>
        <w:t xml:space="preserve"> </w:t>
      </w:r>
      <w:r>
        <w:t xml:space="preserve">límite incluido por plan.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Credit:</w:t>
      </w:r>
      <w:r>
        <w:t xml:space="preserve"> </w:t>
      </w:r>
      <w:r>
        <w:t xml:space="preserve">unidad comercial prepago para uso variable.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COGS event:</w:t>
      </w:r>
      <w:r>
        <w:t xml:space="preserve"> </w:t>
      </w:r>
      <w:r>
        <w:t xml:space="preserve">coste real medido por proveedor/worker/storage.</w:t>
      </w:r>
    </w:p>
    <w:p>
      <w:pPr>
        <w:pStyle w:val="FirstParagraph"/>
      </w:pPr>
      <w:r>
        <w:t xml:space="preserve">La tabla de créditos v1.0 es un punto de partida, pero no debe fijarse sin benchmarking de coste. El sistema interno debe utilizar enteros y un ledger append-only. Flujo de una acción costosa:</w:t>
      </w:r>
    </w:p>
    <w:p>
      <w:pPr>
        <w:pStyle w:val="Compact"/>
        <w:numPr>
          <w:ilvl w:val="0"/>
          <w:numId w:val="1015"/>
        </w:numPr>
      </w:pPr>
      <w:r>
        <w:t xml:space="preserve">estimar coste;</w:t>
      </w:r>
    </w:p>
    <w:p>
      <w:pPr>
        <w:pStyle w:val="Compact"/>
        <w:numPr>
          <w:ilvl w:val="0"/>
          <w:numId w:val="1015"/>
        </w:numPr>
      </w:pPr>
      <w:r>
        <w:t xml:space="preserve">reservar créditos;</w:t>
      </w:r>
    </w:p>
    <w:p>
      <w:pPr>
        <w:pStyle w:val="Compact"/>
        <w:numPr>
          <w:ilvl w:val="0"/>
          <w:numId w:val="1015"/>
        </w:numPr>
      </w:pPr>
      <w:r>
        <w:t xml:space="preserve">ejecutar;</w:t>
      </w:r>
    </w:p>
    <w:p>
      <w:pPr>
        <w:pStyle w:val="Compact"/>
        <w:numPr>
          <w:ilvl w:val="0"/>
          <w:numId w:val="1015"/>
        </w:numPr>
      </w:pPr>
      <w:r>
        <w:t xml:space="preserve">capturar al completar;</w:t>
      </w:r>
    </w:p>
    <w:p>
      <w:pPr>
        <w:pStyle w:val="Compact"/>
        <w:numPr>
          <w:ilvl w:val="0"/>
          <w:numId w:val="1015"/>
        </w:numPr>
      </w:pPr>
      <w:r>
        <w:t xml:space="preserve">liberar al fallar/cancelar;</w:t>
      </w:r>
    </w:p>
    <w:p>
      <w:pPr>
        <w:pStyle w:val="Compact"/>
        <w:numPr>
          <w:ilvl w:val="0"/>
          <w:numId w:val="1015"/>
        </w:numPr>
      </w:pPr>
      <w:r>
        <w:t xml:space="preserve">registrar coste real y margen.</w:t>
      </w:r>
    </w:p>
    <w:p>
      <w:pPr>
        <w:pStyle w:val="FirstParagraph"/>
      </w:pPr>
      <w:r>
        <w:t xml:space="preserve">Stripe recomienda una plataforma específica cuando existen prepaid credits, burndown, contratos enterprise, pricing dimensional o visibilidad de uso en tiempo real [O2]. Para la paid beta, Escaparates Pro debe mantener su ledger interno y vender packs mediante pagos puntuales; no adoptar una plataforma metered compleja hasta que el volumen lo justifique.</w:t>
      </w:r>
    </w:p>
    <w:bookmarkEnd w:id="51"/>
    <w:bookmarkStart w:id="52" w:name="unit-economics"/>
    <w:p>
      <w:pPr>
        <w:pStyle w:val="Heading2"/>
        <w:keepNext/>
        <w:widowControl/>
      </w:pPr>
      <w:r>
        <w:t xml:space="preserve">5.5 Unit economics</w:t>
      </w:r>
    </w:p>
    <w:p>
      <w:pPr>
        <w:pStyle w:val="FirstParagraph"/>
      </w:pPr>
      <w:r>
        <w:t xml:space="preserve">Métricas mínimas:</w:t>
      </w:r>
    </w:p>
    <w:p>
      <w:pPr>
        <w:pStyle w:val="Compact"/>
        <w:numPr>
          <w:ilvl w:val="0"/>
          <w:numId w:val="1016"/>
        </w:numPr>
      </w:pPr>
      <w:r>
        <w:t xml:space="preserve">ARPA y MRR neto.</w:t>
      </w:r>
    </w:p>
    <w:p>
      <w:pPr>
        <w:pStyle w:val="Compact"/>
        <w:numPr>
          <w:ilvl w:val="0"/>
          <w:numId w:val="1016"/>
        </w:numPr>
      </w:pPr>
      <w:r>
        <w:t xml:space="preserve">Gross revenue retention y logo churn.</w:t>
      </w:r>
    </w:p>
    <w:p>
      <w:pPr>
        <w:pStyle w:val="Compact"/>
        <w:numPr>
          <w:ilvl w:val="0"/>
          <w:numId w:val="1016"/>
        </w:numPr>
      </w:pPr>
      <w:r>
        <w:t xml:space="preserve">CAC y CAC payback.</w:t>
      </w:r>
    </w:p>
    <w:p>
      <w:pPr>
        <w:pStyle w:val="Compact"/>
        <w:numPr>
          <w:ilvl w:val="0"/>
          <w:numId w:val="1016"/>
        </w:numPr>
      </w:pPr>
      <w:r>
        <w:t xml:space="preserve">Contribution margin por plan.</w:t>
      </w:r>
    </w:p>
    <w:p>
      <w:pPr>
        <w:pStyle w:val="Compact"/>
        <w:numPr>
          <w:ilvl w:val="0"/>
          <w:numId w:val="1016"/>
        </w:numPr>
      </w:pPr>
      <w:r>
        <w:t xml:space="preserve">COGS por export, publicación, GB y AI run.</w:t>
      </w:r>
    </w:p>
    <w:p>
      <w:pPr>
        <w:pStyle w:val="Compact"/>
        <w:numPr>
          <w:ilvl w:val="0"/>
          <w:numId w:val="1016"/>
        </w:numPr>
      </w:pPr>
      <w:r>
        <w:t xml:space="preserve">Payment failure recovery.</w:t>
      </w:r>
    </w:p>
    <w:p>
      <w:pPr>
        <w:pStyle w:val="Compact"/>
        <w:numPr>
          <w:ilvl w:val="0"/>
          <w:numId w:val="1016"/>
        </w:numPr>
      </w:pPr>
      <w:r>
        <w:t xml:space="preserve">Support minutes por workspace.</w:t>
      </w:r>
    </w:p>
    <w:p>
      <w:pPr>
        <w:pStyle w:val="FirstParagraph"/>
      </w:pPr>
      <w:r>
        <w:t xml:space="preserve">Fórmulas operativas:</w:t>
      </w:r>
    </w:p>
    <w:p>
      <w:pPr>
        <w:pStyle w:val="SourceCode"/>
        <w:spacing w:before="80" w:after="120"/>
        <w:shd w:fill="F1F5F9"/>
      </w:pPr>
      <w:r>
        <w:rPr>
          <w:rStyle w:val="VerbatimChar"/>
          <w:rFonts w:ascii="Cascadia Mono" w:hAnsi="Cascadia Mono"/>
          <w:color w:val="0F172A"/>
          <w:sz w:val="15"/>
        </w:rPr>
        <w:t xml:space="preserve">Contribution Margin = Revenue - payment fees - storage/egress - compute - AI - variable support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Net New MRR = New MRR + Expansion MRR - Contraction MRR - Churned MRR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Activation Rate = workspaces with first value / verified new workspaces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Publish Success Rate = successful releases / publish attempts</w:t>
      </w:r>
    </w:p>
    <w:p>
      <w:pPr>
        <w:pStyle w:val="FirstParagraph"/>
      </w:pPr>
      <w:r>
        <w:t xml:space="preserve">Los escenarios MRR del documento v1.0 no deben presentarse como forecast. Deben convertirse en un modelo editable con inputs observados.</w:t>
      </w:r>
    </w:p>
    <w:bookmarkEnd w:id="52"/>
    <w:bookmarkEnd w:id="53"/>
    <w:bookmarkStart w:id="67" w:name="arquitectura-objetivo"/>
    <w:p>
      <w:pPr>
        <w:pStyle w:val="Heading1"/>
        <w:keepNext/>
        <w:widowControl/>
        <w:pageBreakBefore/>
      </w:pPr>
      <w:r>
        <w:br w:type="page"/>
      </w:r>
      <w:r>
        <w:t xml:space="preserve">6. Arquitectura objetivo</w:t>
      </w:r>
    </w:p>
    <w:p>
      <w:pPr>
        <w:pStyle w:val="CaptionedFigure"/>
        <w:spacing w:before="80" w:after="120"/>
        <w:jc w:val="center"/>
      </w:pPr>
      <w:r>
        <w:drawing>
          <wp:inline>
            <wp:extent cx="6047232" cy="3460475"/>
            <wp:effectExtent b="0" l="0" r="0" t="0"/>
            <wp:docPr descr="Arquitectura objetivo" title="" id="55" name="Picture"/>
            <a:graphic>
              <a:graphicData uri="http://schemas.openxmlformats.org/drawingml/2006/picture">
                <pic:pic>
                  <pic:nvPicPr>
                    <pic:cNvPr descr="assets/architecture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232" cy="346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objetivo</w:t>
      </w:r>
    </w:p>
    <w:bookmarkStart w:id="64" w:name="decisiones-arquitectónicas"/>
    <w:p>
      <w:pPr>
        <w:pStyle w:val="Heading2"/>
        <w:keepNext/>
        <w:widowControl/>
      </w:pPr>
      <w:r>
        <w:t xml:space="preserve">6.1 Decisiones arquitectónicas</w:t>
      </w:r>
    </w:p>
    <w:bookmarkStart w:id="57" w:name="adr-001-monolito-modular-primero"/>
    <w:p>
      <w:pPr>
        <w:pStyle w:val="Heading3"/>
        <w:keepNext/>
        <w:widowControl/>
      </w:pPr>
      <w:r>
        <w:t xml:space="preserve">ADR-001 — Monolito modular primero</w:t>
      </w:r>
    </w:p>
    <w:p>
      <w:pPr>
        <w:pStyle w:val="FirstParagraph"/>
      </w:pPr>
      <w:r>
        <w:t xml:space="preserve">Mantener una única API desplegable mientras el volumen sea bajo. Separar dominios por módulos internos, transacciones y contratos; no por servicios de red. Crear un worker independiente sólo para tareas pesadas.</w:t>
      </w:r>
    </w:p>
    <w:bookmarkEnd w:id="57"/>
    <w:bookmarkStart w:id="58" w:name="adr-002-proteger-el-runtime-visual"/>
    <w:p>
      <w:pPr>
        <w:pStyle w:val="Heading3"/>
        <w:keepNext/>
        <w:widowControl/>
      </w:pPr>
      <w:r>
        <w:t xml:space="preserve">ADR-002 — Proteger el runtime visual</w:t>
      </w:r>
    </w:p>
    <w:p>
      <w:pPr>
        <w:pStyle w:val="FirstParagraph"/>
      </w:pPr>
      <w:r>
        <w:t xml:space="preserve">No reescribir el editor. Introducir un anti-corruption layer: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ProjectDocumentAdapter</w:t>
      </w:r>
      <w:r>
        <w:t xml:space="preserve"> </w:t>
      </w:r>
      <w:r>
        <w:t xml:space="preserve">traduce el estado legacy al contrato canónico.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EffectManifestRegistry</w:t>
      </w:r>
      <w:r>
        <w:t xml:space="preserve"> </w:t>
      </w:r>
      <w:r>
        <w:t xml:space="preserve">describe capacidades y controles.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ViewerCompiler</w:t>
      </w:r>
      <w:r>
        <w:t xml:space="preserve"> </w:t>
      </w:r>
      <w:r>
        <w:t xml:space="preserve">produce salida cerrada.</w:t>
      </w:r>
    </w:p>
    <w:p>
      <w:pPr>
        <w:pStyle w:val="Compact"/>
        <w:numPr>
          <w:ilvl w:val="0"/>
          <w:numId w:val="1017"/>
        </w:numPr>
      </w:pPr>
      <w:r>
        <w:t xml:space="preserve">feature flags permiten migración incremental.</w:t>
      </w:r>
    </w:p>
    <w:bookmarkEnd w:id="58"/>
    <w:bookmarkStart w:id="59" w:name="adr-003-contratos-versionados"/>
    <w:p>
      <w:pPr>
        <w:pStyle w:val="Heading3"/>
        <w:keepNext/>
        <w:widowControl/>
      </w:pPr>
      <w:r>
        <w:t xml:space="preserve">ADR-003 — Contratos versionados</w:t>
      </w:r>
    </w:p>
    <w:p>
      <w:pPr>
        <w:pStyle w:val="FirstParagraph"/>
      </w:pPr>
      <w:r>
        <w:rPr>
          <w:rStyle w:val="VerbatimChar"/>
        </w:rPr>
        <w:t xml:space="preserve">ProjectDocument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EffectManifest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ViewerRelease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CampaignPlan</w:t>
      </w:r>
      <w:r>
        <w:t xml:space="preserve"> </w:t>
      </w:r>
      <w:r>
        <w:t xml:space="preserve">y eventos de uso tienen</w:t>
      </w:r>
      <w:r>
        <w:t xml:space="preserve"> </w:t>
      </w:r>
      <w:r>
        <w:rPr>
          <w:rStyle w:val="VerbatimChar"/>
        </w:rPr>
        <w:t xml:space="preserve">schemaVersion</w:t>
      </w:r>
      <w:r>
        <w:t xml:space="preserve">. Cada cambio incompatible requiere migrador y fixtures.</w:t>
      </w:r>
    </w:p>
    <w:bookmarkEnd w:id="59"/>
    <w:bookmarkStart w:id="60" w:name="adr-004-same-site-application-boundary"/>
    <w:p>
      <w:pPr>
        <w:pStyle w:val="Heading3"/>
        <w:keepNext/>
        <w:widowControl/>
      </w:pPr>
      <w:r>
        <w:t xml:space="preserve">ADR-004 — Same-site application boundary</w:t>
      </w:r>
    </w:p>
    <w:p>
      <w:pPr>
        <w:pStyle w:val="FirstParagraph"/>
      </w:pPr>
      <w:r>
        <w:t xml:space="preserve">Preferencia de producción: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app.escaparatespro.com</w:t>
      </w:r>
      <w:r>
        <w:t xml:space="preserve"> </w:t>
      </w:r>
      <w:r>
        <w:t xml:space="preserve">para frontend;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api.escaparatespro.com</w:t>
      </w:r>
      <w:r>
        <w:t xml:space="preserve"> </w:t>
      </w:r>
      <w:r>
        <w:t xml:space="preserve">o proxy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same-site;</w:t>
      </w:r>
    </w:p>
    <w:p>
      <w:pPr>
        <w:pStyle w:val="Compact"/>
        <w:numPr>
          <w:ilvl w:val="0"/>
          <w:numId w:val="1018"/>
        </w:numPr>
      </w:pPr>
      <w:r>
        <w:t xml:space="preserve">cookies Secure, HttpOnly, SameSite=Lax cuando sea viable;</w:t>
      </w:r>
    </w:p>
    <w:p>
      <w:pPr>
        <w:pStyle w:val="Compact"/>
        <w:numPr>
          <w:ilvl w:val="0"/>
          <w:numId w:val="1018"/>
        </w:numPr>
      </w:pPr>
      <w:r>
        <w:t xml:space="preserve">CSRF defense para mutaciones basadas en cookie.</w:t>
      </w:r>
    </w:p>
    <w:bookmarkEnd w:id="60"/>
    <w:bookmarkStart w:id="61" w:name="Xe98118da92b3bdc15d505fae25658b340ca459a"/>
    <w:p>
      <w:pPr>
        <w:pStyle w:val="Heading3"/>
        <w:keepNext/>
        <w:widowControl/>
      </w:pPr>
      <w:r>
        <w:t xml:space="preserve">ADR-005 — Object storage privado por defecto</w:t>
      </w:r>
    </w:p>
    <w:p>
      <w:pPr>
        <w:pStyle w:val="FirstParagraph"/>
      </w:pPr>
      <w:r>
        <w:t xml:space="preserve">La base de datos guarda metadata e IDs. Assets, releases y artifacts viven en storage S3-compatible con URLs firmadas cortas.</w:t>
      </w:r>
    </w:p>
    <w:bookmarkEnd w:id="61"/>
    <w:bookmarkStart w:id="62" w:name="adr-006-iframe-first-embed"/>
    <w:p>
      <w:pPr>
        <w:pStyle w:val="Heading3"/>
        <w:keepNext/>
        <w:widowControl/>
      </w:pPr>
      <w:r>
        <w:t xml:space="preserve">ADR-006 — Iframe-first embed</w:t>
      </w:r>
    </w:p>
    <w:p>
      <w:pPr>
        <w:pStyle w:val="FirstParagraph"/>
      </w:pPr>
      <w:r>
        <w:t xml:space="preserve">El iframe es la primera integración pública porque proporciona aislamiento, revocación y CSP. El script loader llega después y sólo monta un iframe/config validada.</w:t>
      </w:r>
    </w:p>
    <w:bookmarkEnd w:id="62"/>
    <w:bookmarkStart w:id="63" w:name="adr-007-postgres-queue-antes-de-redis"/>
    <w:p>
      <w:pPr>
        <w:pStyle w:val="Heading3"/>
        <w:keepNext/>
        <w:widowControl/>
      </w:pPr>
      <w:r>
        <w:t xml:space="preserve">ADR-007 — Postgres queue antes de Redis</w:t>
      </w:r>
    </w:p>
    <w:p>
      <w:pPr>
        <w:pStyle w:val="FirstParagraph"/>
      </w:pPr>
      <w:r>
        <w:t xml:space="preserve">Para el primer worker, usar una cola transaccional respaldada por PostgreSQL y outbox. Redis se introduce sólo si métricas demuestran bloqueo o throughput insuficiente.</w:t>
      </w:r>
    </w:p>
    <w:bookmarkEnd w:id="63"/>
    <w:bookmarkEnd w:id="64"/>
    <w:bookmarkStart w:id="65" w:name="estructura-de-módulos-backend"/>
    <w:p>
      <w:pPr>
        <w:pStyle w:val="Heading2"/>
        <w:keepNext/>
        <w:widowControl/>
      </w:pPr>
      <w:r>
        <w:t xml:space="preserve">6.2 Estructura de módulos backend</w:t>
      </w:r>
    </w:p>
    <w:p>
      <w:pPr>
        <w:pStyle w:val="SourceCode"/>
        <w:spacing w:before="80" w:after="120"/>
        <w:shd w:fill="F1F5F9"/>
      </w:pPr>
      <w:r>
        <w:rPr>
          <w:rStyle w:val="VerbatimChar"/>
          <w:rFonts w:ascii="Cascadia Mono" w:hAnsi="Cascadia Mono"/>
          <w:color w:val="0F172A"/>
          <w:sz w:val="15"/>
        </w:rPr>
        <w:t xml:space="preserve">apps/api/src/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modules/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identity/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workspaces/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projects/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presets/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assets/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publishing/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embeds/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exports/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billing/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entitlements/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credits/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legal/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analytics/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notifications/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ai/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admin/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platform/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database/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storage/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jobs/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observability/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security/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shared/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errors/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ids/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validation/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time/</w:t>
      </w:r>
    </w:p>
    <w:p>
      <w:pPr>
        <w:pStyle w:val="FirstParagraph"/>
      </w:pPr>
      <w:r>
        <w:t xml:space="preserve">No realizar un refactor masivo. Cada nueva microfase mueve sólo el dominio tocado.</w:t>
      </w:r>
    </w:p>
    <w:bookmarkEnd w:id="65"/>
    <w:bookmarkStart w:id="66" w:name="estados-de-entorno"/>
    <w:p>
      <w:pPr>
        <w:pStyle w:val="Heading2"/>
        <w:keepNext/>
        <w:widowControl/>
      </w:pPr>
      <w:r>
        <w:t xml:space="preserve">6.3 Estados de entorno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555"/>
        <w:gridCol w:w="5248"/>
        <w:gridCol w:w="2916"/>
      </w:tblGrid>
      <w:tr>
        <w:trPr>
          <w:tblHeader w:val="on"/>
          <w:tblHeader w:val="true"/>
          <w:cantSplit/>
        </w:trPr>
        <w:tc>
          <w:tcPr>
            <w:tcW w:type="dxa" w:w="155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Entorno</w:t>
            </w:r>
          </w:p>
        </w:tc>
        <w:tc>
          <w:tcPr>
            <w:tcW w:type="dxa" w:w="52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Configuración obligatoria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Propósito</w:t>
            </w:r>
          </w:p>
        </w:tc>
      </w:tr>
      <w:tr>
        <w:tc>
          <w:tcPr>
            <w:tcW w:type="dxa" w:w="155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Local</w:t>
            </w:r>
          </w:p>
        </w:tc>
        <w:tc>
          <w:tcPr>
            <w:tcW w:type="dxa" w:w="52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DB local/efímera; Stripe test; bucket dev; secretos locales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Implementación y tests rápidos</w:t>
            </w:r>
          </w:p>
        </w:tc>
      </w:tr>
      <w:tr>
        <w:tc>
          <w:tcPr>
            <w:tcW w:type="dxa" w:w="155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Preview</w:t>
            </w:r>
          </w:p>
        </w:tc>
        <w:tc>
          <w:tcPr>
            <w:tcW w:type="dxa" w:w="52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Datos aislados o mocks; Stripe test; storage con prefijo por PR; acceso de equipo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QA visual y de contrato por pull request</w:t>
            </w:r>
          </w:p>
        </w:tc>
      </w:tr>
      <w:tr>
        <w:tc>
          <w:tcPr>
            <w:tcW w:type="dxa" w:w="155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Staging</w:t>
            </w:r>
          </w:p>
        </w:tc>
        <w:tc>
          <w:tcPr>
            <w:tcW w:type="dxa" w:w="52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DB y bucket persistentes separados; Stripe test; webhooks propios; acceso privado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Integración end-to-end y ensayos operativos</w:t>
            </w:r>
          </w:p>
        </w:tc>
      </w:tr>
      <w:tr>
        <w:tc>
          <w:tcPr>
            <w:tcW w:type="dxa" w:w="155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Production</w:t>
            </w:r>
          </w:p>
        </w:tc>
        <w:tc>
          <w:tcPr>
            <w:tcW w:type="dxa" w:w="524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DB, storage, secretos y Stripe live exclusivos; dominio final; backups y alertas</w:t>
            </w:r>
          </w:p>
        </w:tc>
        <w:tc>
          <w:tcPr>
            <w:tcW w:type="dxa" w:w="291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Servicio real para clientes</w:t>
            </w:r>
          </w:p>
        </w:tc>
      </w:tr>
    </w:tbl>
    <w:p>
      <w:pPr>
        <w:pStyle w:val="BodyText"/>
      </w:pPr>
      <w:r>
        <w:t xml:space="preserve">Nunca compartir secretos, webhooks o buckets entre staging y producción.</w:t>
      </w:r>
    </w:p>
    <w:bookmarkEnd w:id="66"/>
    <w:bookmarkEnd w:id="67"/>
    <w:bookmarkStart w:id="72" w:name="contratos-canónicos"/>
    <w:p>
      <w:pPr>
        <w:pStyle w:val="Heading1"/>
        <w:keepNext/>
        <w:widowControl/>
        <w:pageBreakBefore/>
      </w:pPr>
      <w:r>
        <w:br w:type="page"/>
      </w:r>
      <w:r>
        <w:t xml:space="preserve">7. Contratos canónicos</w:t>
      </w:r>
    </w:p>
    <w:bookmarkStart w:id="68" w:name="projectdocument"/>
    <w:p>
      <w:pPr>
        <w:pStyle w:val="Heading2"/>
        <w:keepNext/>
        <w:widowControl/>
      </w:pPr>
      <w:r>
        <w:t xml:space="preserve">7.1 ProjectDocument</w:t>
      </w:r>
    </w:p>
    <w:p>
      <w:pPr>
        <w:pStyle w:val="FirstParagraph"/>
      </w:pPr>
      <w:r>
        <w:t xml:space="preserve">Es la unidad de persistencia y compilación. El schema completo se entrega en</w:t>
      </w:r>
      <w:r>
        <w:t xml:space="preserve"> </w:t>
      </w:r>
      <w:r>
        <w:rPr>
          <w:rStyle w:val="VerbatimChar"/>
        </w:rPr>
        <w:t xml:space="preserve">schemas/project-document.schema.json</w:t>
      </w:r>
      <w:r>
        <w:t xml:space="preserve">.</w:t>
      </w:r>
    </w:p>
    <w:p>
      <w:pPr>
        <w:pStyle w:val="BodyText"/>
      </w:pPr>
      <w:r>
        <w:t xml:space="preserve">Principios:</w:t>
      </w:r>
    </w:p>
    <w:p>
      <w:pPr>
        <w:pStyle w:val="Compact"/>
        <w:numPr>
          <w:ilvl w:val="0"/>
          <w:numId w:val="1019"/>
        </w:numPr>
      </w:pPr>
      <w:r>
        <w:t xml:space="preserve">asset references por UUID, nunca URLs firmadas;</w:t>
      </w:r>
    </w:p>
    <w:p>
      <w:pPr>
        <w:pStyle w:val="Compact"/>
        <w:numPr>
          <w:ilvl w:val="0"/>
          <w:numId w:val="1019"/>
        </w:numPr>
      </w:pPr>
      <w:r>
        <w:t xml:space="preserve">module ID + version + manifest hash;</w:t>
      </w:r>
    </w:p>
    <w:p>
      <w:pPr>
        <w:pStyle w:val="Compact"/>
        <w:numPr>
          <w:ilvl w:val="0"/>
          <w:numId w:val="1019"/>
        </w:numPr>
      </w:pPr>
      <w:r>
        <w:t xml:space="preserve">controles libres pero validados contra</w:t>
      </w:r>
      <w:r>
        <w:t xml:space="preserve"> </w:t>
      </w:r>
      <w:r>
        <w:rPr>
          <w:rStyle w:val="VerbatimChar"/>
        </w:rPr>
        <w:t xml:space="preserve">controlsSchema</w:t>
      </w:r>
      <w:r>
        <w:t xml:space="preserve"> </w:t>
      </w:r>
      <w:r>
        <w:t xml:space="preserve">del manifest;</w:t>
      </w:r>
    </w:p>
    <w:p>
      <w:pPr>
        <w:pStyle w:val="Compact"/>
        <w:numPr>
          <w:ilvl w:val="0"/>
          <w:numId w:val="1019"/>
        </w:numPr>
      </w:pPr>
      <w:r>
        <w:t xml:space="preserve">output y accessibility explícitos;</w:t>
      </w:r>
    </w:p>
    <w:p>
      <w:pPr>
        <w:pStyle w:val="Compact"/>
        <w:numPr>
          <w:ilvl w:val="0"/>
          <w:numId w:val="1019"/>
        </w:numPr>
      </w:pPr>
      <w:r>
        <w:t xml:space="preserve">revision para optimistic locking;</w:t>
      </w:r>
    </w:p>
    <w:p>
      <w:pPr>
        <w:pStyle w:val="Compact"/>
        <w:numPr>
          <w:ilvl w:val="0"/>
          <w:numId w:val="1019"/>
        </w:numPr>
      </w:pPr>
      <w:r>
        <w:t xml:space="preserve">provenance/licencias y AI run IDs;</w:t>
      </w:r>
    </w:p>
    <w:p>
      <w:pPr>
        <w:pStyle w:val="Compact"/>
        <w:numPr>
          <w:ilvl w:val="0"/>
          <w:numId w:val="1019"/>
        </w:numPr>
      </w:pPr>
      <w:r>
        <w:t xml:space="preserve">límite de tamaño del documento;</w:t>
      </w:r>
    </w:p>
    <w:p>
      <w:pPr>
        <w:pStyle w:val="Compact"/>
        <w:numPr>
          <w:ilvl w:val="0"/>
          <w:numId w:val="1019"/>
        </w:numPr>
      </w:pPr>
      <w:r>
        <w:t xml:space="preserve">migradores puros y testeados.</w:t>
      </w:r>
    </w:p>
    <w:p>
      <w:pPr>
        <w:pStyle w:val="FirstParagraph"/>
      </w:pPr>
      <w:r>
        <w:t xml:space="preserve">Ejemplo reducido:</w:t>
      </w:r>
    </w:p>
    <w:p>
      <w:pPr>
        <w:pStyle w:val="SourceCode"/>
        <w:spacing w:before="80" w:after="120"/>
        <w:shd w:fill="F1F5F9"/>
      </w:pPr>
      <w:r>
        <w:rPr>
          <w:rStyle w:val="FunctionTok"/>
          <w:rFonts w:ascii="Cascadia Mono" w:hAnsi="Cascadia Mono"/>
          <w:color w:val="0F172A"/>
          <w:sz w:val="15"/>
        </w:rPr>
        <w:t xml:space="preserve">{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"schemaVersion"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"1.0.0"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"projectId"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"6f3e8ab6-87d2-42e7-86d0-ff68e7a37f28"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"workspaceId"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"3a0db366-79cf-4fa3-88e5-f1d8de83858c"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"name"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"Hero campaña verano"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"status"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"draft"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"revision"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ecValTok"/>
          <w:rFonts w:ascii="Cascadia Mono" w:hAnsi="Cascadia Mono"/>
          <w:color w:val="0F172A"/>
          <w:sz w:val="15"/>
        </w:rPr>
        <w:t xml:space="preserve">12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"mode"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"website-module"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"module"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FunctionTok"/>
          <w:rFonts w:ascii="Cascadia Mono" w:hAnsi="Cascadia Mono"/>
          <w:color w:val="0F172A"/>
          <w:sz w:val="15"/>
        </w:rPr>
        <w:t xml:space="preserve">{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  </w:t>
      </w:r>
      <w:r>
        <w:rPr>
          <w:rStyle w:val="DataTypeTok"/>
          <w:rFonts w:ascii="Cascadia Mono" w:hAnsi="Cascadia Mono"/>
          <w:color w:val="0F172A"/>
          <w:sz w:val="15"/>
        </w:rPr>
        <w:t xml:space="preserve">"id"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"rgb-motion-triptych-pro"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  </w:t>
      </w:r>
      <w:r>
        <w:rPr>
          <w:rStyle w:val="DataTypeTok"/>
          <w:rFonts w:ascii="Cascadia Mono" w:hAnsi="Cascadia Mono"/>
          <w:color w:val="0F172A"/>
          <w:sz w:val="15"/>
        </w:rPr>
        <w:t xml:space="preserve">"version"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"1.1.0"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  </w:t>
      </w:r>
      <w:r>
        <w:rPr>
          <w:rStyle w:val="DataTypeTok"/>
          <w:rFonts w:ascii="Cascadia Mono" w:hAnsi="Cascadia Mono"/>
          <w:color w:val="0F172A"/>
          <w:sz w:val="15"/>
        </w:rPr>
        <w:t xml:space="preserve">"kind"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"website-module"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  </w:t>
      </w:r>
      <w:r>
        <w:rPr>
          <w:rStyle w:val="DataTypeTok"/>
          <w:rFonts w:ascii="Cascadia Mono" w:hAnsi="Cascadia Mono"/>
          <w:color w:val="0F172A"/>
          <w:sz w:val="15"/>
        </w:rPr>
        <w:t xml:space="preserve">"manifestHash"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"sha256:..."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FunctionTok"/>
          <w:rFonts w:ascii="Cascadia Mono" w:hAnsi="Cascadia Mono"/>
          <w:color w:val="0F172A"/>
          <w:sz w:val="15"/>
        </w:rPr>
        <w:t xml:space="preserve">},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"assets"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OtherTok"/>
          <w:rFonts w:ascii="Cascadia Mono" w:hAnsi="Cascadia Mono"/>
          <w:color w:val="0F172A"/>
          <w:sz w:val="15"/>
        </w:rPr>
        <w:t xml:space="preserve">[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  </w:t>
      </w:r>
      <w:r>
        <w:rPr>
          <w:rStyle w:val="FunctionTok"/>
          <w:rFonts w:ascii="Cascadia Mono" w:hAnsi="Cascadia Mono"/>
          <w:color w:val="0F172A"/>
          <w:sz w:val="15"/>
        </w:rPr>
        <w:t xml:space="preserve">{</w:t>
      </w:r>
      <w:r>
        <w:rPr>
          <w:rStyle w:val="DataTypeTok"/>
          <w:rFonts w:ascii="Cascadia Mono" w:hAnsi="Cascadia Mono"/>
          <w:color w:val="0F172A"/>
          <w:sz w:val="15"/>
        </w:rPr>
        <w:t xml:space="preserve">"slotId"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"primary"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ataTypeTok"/>
          <w:rFonts w:ascii="Cascadia Mono" w:hAnsi="Cascadia Mono"/>
          <w:color w:val="0F172A"/>
          <w:sz w:val="15"/>
        </w:rPr>
        <w:t xml:space="preserve">"assetId"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"1e74..."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ataTypeTok"/>
          <w:rFonts w:ascii="Cascadia Mono" w:hAnsi="Cascadia Mono"/>
          <w:color w:val="0F172A"/>
          <w:sz w:val="15"/>
        </w:rPr>
        <w:t xml:space="preserve">"variant"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"web-optimized"</w:t>
      </w:r>
      <w:r>
        <w:rPr>
          <w:rStyle w:val="FunctionTok"/>
          <w:rFonts w:ascii="Cascadia Mono" w:hAnsi="Cascadia Mono"/>
          <w:color w:val="0F172A"/>
          <w:sz w:val="15"/>
        </w:rPr>
        <w:t xml:space="preserve">}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OtherTok"/>
          <w:rFonts w:ascii="Cascadia Mono" w:hAnsi="Cascadia Mono"/>
          <w:color w:val="0F172A"/>
          <w:sz w:val="15"/>
        </w:rPr>
        <w:t xml:space="preserve">]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"controls"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FunctionTok"/>
          <w:rFonts w:ascii="Cascadia Mono" w:hAnsi="Cascadia Mono"/>
          <w:color w:val="0F172A"/>
          <w:sz w:val="15"/>
        </w:rPr>
        <w:t xml:space="preserve">{</w:t>
      </w:r>
      <w:r>
        <w:rPr>
          <w:rStyle w:val="DataTypeTok"/>
          <w:rFonts w:ascii="Cascadia Mono" w:hAnsi="Cascadia Mono"/>
          <w:color w:val="0F172A"/>
          <w:sz w:val="15"/>
        </w:rPr>
        <w:t xml:space="preserve">"intensity"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ecValTok"/>
          <w:rFonts w:ascii="Cascadia Mono" w:hAnsi="Cascadia Mono"/>
          <w:color w:val="0F172A"/>
          <w:sz w:val="15"/>
        </w:rPr>
        <w:t xml:space="preserve">0</w:t>
      </w:r>
      <w:r>
        <w:rPr>
          <w:rStyle w:val="ErrorTok"/>
          <w:rFonts w:ascii="Cascadia Mono" w:hAnsi="Cascadia Mono"/>
          <w:color w:val="0F172A"/>
          <w:sz w:val="15"/>
        </w:rPr>
        <w:t xml:space="preserve">.</w:t>
      </w:r>
      <w:r>
        <w:rPr>
          <w:rStyle w:val="DecValTok"/>
          <w:rFonts w:ascii="Cascadia Mono" w:hAnsi="Cascadia Mono"/>
          <w:color w:val="0F172A"/>
          <w:sz w:val="15"/>
        </w:rPr>
        <w:t xml:space="preserve">72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ataTypeTok"/>
          <w:rFonts w:ascii="Cascadia Mono" w:hAnsi="Cascadia Mono"/>
          <w:color w:val="0F172A"/>
          <w:sz w:val="15"/>
        </w:rPr>
        <w:t xml:space="preserve">"speed"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ecValTok"/>
          <w:rFonts w:ascii="Cascadia Mono" w:hAnsi="Cascadia Mono"/>
          <w:color w:val="0F172A"/>
          <w:sz w:val="15"/>
        </w:rPr>
        <w:t xml:space="preserve">0</w:t>
      </w:r>
      <w:r>
        <w:rPr>
          <w:rStyle w:val="ErrorTok"/>
          <w:rFonts w:ascii="Cascadia Mono" w:hAnsi="Cascadia Mono"/>
          <w:color w:val="0F172A"/>
          <w:sz w:val="15"/>
        </w:rPr>
        <w:t xml:space="preserve">.</w:t>
      </w:r>
      <w:r>
        <w:rPr>
          <w:rStyle w:val="DecValTok"/>
          <w:rFonts w:ascii="Cascadia Mono" w:hAnsi="Cascadia Mono"/>
          <w:color w:val="0F172A"/>
          <w:sz w:val="15"/>
        </w:rPr>
        <w:t xml:space="preserve">55</w:t>
      </w:r>
      <w:r>
        <w:rPr>
          <w:rStyle w:val="FunctionTok"/>
          <w:rFonts w:ascii="Cascadia Mono" w:hAnsi="Cascadia Mono"/>
          <w:color w:val="0F172A"/>
          <w:sz w:val="15"/>
        </w:rPr>
        <w:t xml:space="preserve">},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"branding"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FunctionTok"/>
          <w:rFonts w:ascii="Cascadia Mono" w:hAnsi="Cascadia Mono"/>
          <w:color w:val="0F172A"/>
          <w:sz w:val="15"/>
        </w:rPr>
        <w:t xml:space="preserve">{</w:t>
      </w:r>
      <w:r>
        <w:rPr>
          <w:rStyle w:val="DataTypeTok"/>
          <w:rFonts w:ascii="Cascadia Mono" w:hAnsi="Cascadia Mono"/>
          <w:color w:val="0F172A"/>
          <w:sz w:val="15"/>
        </w:rPr>
        <w:t xml:space="preserve">"headline"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"Nueva colección"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ataTypeTok"/>
          <w:rFonts w:ascii="Cascadia Mono" w:hAnsi="Cascadia Mono"/>
          <w:color w:val="0F172A"/>
          <w:sz w:val="15"/>
        </w:rPr>
        <w:t xml:space="preserve">"cta"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FunctionTok"/>
          <w:rFonts w:ascii="Cascadia Mono" w:hAnsi="Cascadia Mono"/>
          <w:color w:val="0F172A"/>
          <w:sz w:val="15"/>
        </w:rPr>
        <w:t xml:space="preserve">{</w:t>
      </w:r>
      <w:r>
        <w:rPr>
          <w:rStyle w:val="DataTypeTok"/>
          <w:rFonts w:ascii="Cascadia Mono" w:hAnsi="Cascadia Mono"/>
          <w:color w:val="0F172A"/>
          <w:sz w:val="15"/>
        </w:rPr>
        <w:t xml:space="preserve">"label"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"Descubrir"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ataTypeTok"/>
          <w:rFonts w:ascii="Cascadia Mono" w:hAnsi="Cascadia Mono"/>
          <w:color w:val="0F172A"/>
          <w:sz w:val="15"/>
        </w:rPr>
        <w:t xml:space="preserve">"url"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"https://example.com"</w:t>
      </w:r>
      <w:r>
        <w:rPr>
          <w:rStyle w:val="FunctionTok"/>
          <w:rFonts w:ascii="Cascadia Mono" w:hAnsi="Cascadia Mono"/>
          <w:color w:val="0F172A"/>
          <w:sz w:val="15"/>
        </w:rPr>
        <w:t xml:space="preserve">}},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"output"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FunctionTok"/>
          <w:rFonts w:ascii="Cascadia Mono" w:hAnsi="Cascadia Mono"/>
          <w:color w:val="0F172A"/>
          <w:sz w:val="15"/>
        </w:rPr>
        <w:t xml:space="preserve">{</w:t>
      </w:r>
      <w:r>
        <w:rPr>
          <w:rStyle w:val="DataTypeTok"/>
          <w:rFonts w:ascii="Cascadia Mono" w:hAnsi="Cascadia Mono"/>
          <w:color w:val="0F172A"/>
          <w:sz w:val="15"/>
        </w:rPr>
        <w:t xml:space="preserve">"preset"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"web-hero-16:9"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ataTypeTok"/>
          <w:rFonts w:ascii="Cascadia Mono" w:hAnsi="Cascadia Mono"/>
          <w:color w:val="0F172A"/>
          <w:sz w:val="15"/>
        </w:rPr>
        <w:t xml:space="preserve">"width"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ecValTok"/>
          <w:rFonts w:ascii="Cascadia Mono" w:hAnsi="Cascadia Mono"/>
          <w:color w:val="0F172A"/>
          <w:sz w:val="15"/>
        </w:rPr>
        <w:t xml:space="preserve">1920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ataTypeTok"/>
          <w:rFonts w:ascii="Cascadia Mono" w:hAnsi="Cascadia Mono"/>
          <w:color w:val="0F172A"/>
          <w:sz w:val="15"/>
        </w:rPr>
        <w:t xml:space="preserve">"height"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ecValTok"/>
          <w:rFonts w:ascii="Cascadia Mono" w:hAnsi="Cascadia Mono"/>
          <w:color w:val="0F172A"/>
          <w:sz w:val="15"/>
        </w:rPr>
        <w:t xml:space="preserve">1080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ataTypeTok"/>
          <w:rFonts w:ascii="Cascadia Mono" w:hAnsi="Cascadia Mono"/>
          <w:color w:val="0F172A"/>
          <w:sz w:val="15"/>
        </w:rPr>
        <w:t xml:space="preserve">"fps"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ecValTok"/>
          <w:rFonts w:ascii="Cascadia Mono" w:hAnsi="Cascadia Mono"/>
          <w:color w:val="0F172A"/>
          <w:sz w:val="15"/>
        </w:rPr>
        <w:t xml:space="preserve">60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ataTypeTok"/>
          <w:rFonts w:ascii="Cascadia Mono" w:hAnsi="Cascadia Mono"/>
          <w:color w:val="0F172A"/>
          <w:sz w:val="15"/>
        </w:rPr>
        <w:t xml:space="preserve">"quality"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"high"</w:t>
      </w:r>
      <w:r>
        <w:rPr>
          <w:rStyle w:val="FunctionTok"/>
          <w:rFonts w:ascii="Cascadia Mono" w:hAnsi="Cascadia Mono"/>
          <w:color w:val="0F172A"/>
          <w:sz w:val="15"/>
        </w:rPr>
        <w:t xml:space="preserve">},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"accessibility"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FunctionTok"/>
          <w:rFonts w:ascii="Cascadia Mono" w:hAnsi="Cascadia Mono"/>
          <w:color w:val="0F172A"/>
          <w:sz w:val="15"/>
        </w:rPr>
        <w:t xml:space="preserve">{</w:t>
      </w:r>
      <w:r>
        <w:rPr>
          <w:rStyle w:val="DataTypeTok"/>
          <w:rFonts w:ascii="Cascadia Mono" w:hAnsi="Cascadia Mono"/>
          <w:color w:val="0F172A"/>
          <w:sz w:val="15"/>
        </w:rPr>
        <w:t xml:space="preserve">"reducedMotion"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"auto"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ataTypeTok"/>
          <w:rFonts w:ascii="Cascadia Mono" w:hAnsi="Cascadia Mono"/>
          <w:color w:val="0F172A"/>
          <w:sz w:val="15"/>
        </w:rPr>
        <w:t xml:space="preserve">"keyboardNavigation"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KeywordTok"/>
          <w:rFonts w:ascii="Cascadia Mono" w:hAnsi="Cascadia Mono"/>
          <w:color w:val="0F172A"/>
          <w:sz w:val="15"/>
        </w:rPr>
        <w:t xml:space="preserve">true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ataTypeTok"/>
          <w:rFonts w:ascii="Cascadia Mono" w:hAnsi="Cascadia Mono"/>
          <w:color w:val="0F172A"/>
          <w:sz w:val="15"/>
        </w:rPr>
        <w:t xml:space="preserve">"pauseControl"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KeywordTok"/>
          <w:rFonts w:ascii="Cascadia Mono" w:hAnsi="Cascadia Mono"/>
          <w:color w:val="0F172A"/>
          <w:sz w:val="15"/>
        </w:rPr>
        <w:t xml:space="preserve">true</w:t>
      </w:r>
      <w:r>
        <w:rPr>
          <w:rStyle w:val="FunctionTok"/>
          <w:rFonts w:ascii="Cascadia Mono" w:hAnsi="Cascadia Mono"/>
          <w:color w:val="0F172A"/>
          <w:sz w:val="15"/>
        </w:rPr>
        <w:t xml:space="preserve">}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FunctionTok"/>
          <w:rFonts w:ascii="Cascadia Mono" w:hAnsi="Cascadia Mono"/>
          <w:color w:val="0F172A"/>
          <w:sz w:val="15"/>
        </w:rPr>
        <w:t xml:space="preserve">}</w:t>
      </w:r>
    </w:p>
    <w:bookmarkEnd w:id="68"/>
    <w:bookmarkStart w:id="69" w:name="effectmanifest"/>
    <w:p>
      <w:pPr>
        <w:pStyle w:val="Heading2"/>
        <w:keepNext/>
        <w:widowControl/>
      </w:pPr>
      <w:r>
        <w:t xml:space="preserve">7.2 EffectManifest</w:t>
      </w:r>
    </w:p>
    <w:p>
      <w:pPr>
        <w:pStyle w:val="FirstParagraph"/>
      </w:pPr>
      <w:r>
        <w:t xml:space="preserve">Todo efecto/módulo debe declarar:</w:t>
      </w:r>
    </w:p>
    <w:p>
      <w:pPr>
        <w:pStyle w:val="Compact"/>
        <w:numPr>
          <w:ilvl w:val="0"/>
          <w:numId w:val="1020"/>
        </w:numPr>
      </w:pPr>
      <w:r>
        <w:t xml:space="preserve">identidad y versión;</w:t>
      </w:r>
    </w:p>
    <w:p>
      <w:pPr>
        <w:pStyle w:val="Compact"/>
        <w:numPr>
          <w:ilvl w:val="0"/>
          <w:numId w:val="1020"/>
        </w:numPr>
      </w:pPr>
      <w:r>
        <w:t xml:space="preserve">estado de madurez;</w:t>
      </w:r>
    </w:p>
    <w:p>
      <w:pPr>
        <w:pStyle w:val="Compact"/>
        <w:numPr>
          <w:ilvl w:val="0"/>
          <w:numId w:val="1020"/>
        </w:numPr>
      </w:pPr>
      <w:r>
        <w:t xml:space="preserve">entry point e isolation mode;</w:t>
      </w:r>
    </w:p>
    <w:p>
      <w:pPr>
        <w:pStyle w:val="Compact"/>
        <w:numPr>
          <w:ilvl w:val="0"/>
          <w:numId w:val="1020"/>
        </w:numPr>
      </w:pPr>
      <w:r>
        <w:t xml:space="preserve">media slots;</w:t>
      </w:r>
    </w:p>
    <w:p>
      <w:pPr>
        <w:pStyle w:val="Compact"/>
        <w:numPr>
          <w:ilvl w:val="0"/>
          <w:numId w:val="1020"/>
        </w:numPr>
      </w:pPr>
      <w:r>
        <w:t xml:space="preserve">control schema y defaults;</w:t>
      </w:r>
    </w:p>
    <w:p>
      <w:pPr>
        <w:pStyle w:val="Compact"/>
        <w:numPr>
          <w:ilvl w:val="0"/>
          <w:numId w:val="1020"/>
        </w:numPr>
      </w:pPr>
      <w:r>
        <w:t xml:space="preserve">compatibilidad desktop/tablet/mobile;</w:t>
      </w:r>
    </w:p>
    <w:p>
      <w:pPr>
        <w:pStyle w:val="Compact"/>
        <w:numPr>
          <w:ilvl w:val="0"/>
          <w:numId w:val="1020"/>
        </w:numPr>
      </w:pPr>
      <w:r>
        <w:t xml:space="preserve">reduced motion;</w:t>
      </w:r>
    </w:p>
    <w:p>
      <w:pPr>
        <w:pStyle w:val="Compact"/>
        <w:numPr>
          <w:ilvl w:val="0"/>
          <w:numId w:val="1020"/>
        </w:numPr>
      </w:pPr>
      <w:r>
        <w:t xml:space="preserve">formatos exportables;</w:t>
      </w:r>
    </w:p>
    <w:p>
      <w:pPr>
        <w:pStyle w:val="Compact"/>
        <w:numPr>
          <w:ilvl w:val="0"/>
          <w:numId w:val="1020"/>
        </w:numPr>
      </w:pPr>
      <w:r>
        <w:t xml:space="preserve">entitlement keys;</w:t>
      </w:r>
    </w:p>
    <w:p>
      <w:pPr>
        <w:pStyle w:val="Compact"/>
        <w:numPr>
          <w:ilvl w:val="0"/>
          <w:numId w:val="1020"/>
        </w:numPr>
      </w:pPr>
      <w:r>
        <w:t xml:space="preserve">performance tier;</w:t>
      </w:r>
    </w:p>
    <w:p>
      <w:pPr>
        <w:pStyle w:val="Compact"/>
        <w:numPr>
          <w:ilvl w:val="0"/>
          <w:numId w:val="1020"/>
        </w:numPr>
      </w:pPr>
      <w:r>
        <w:t xml:space="preserve">licencia, fuente y notice;</w:t>
      </w:r>
    </w:p>
    <w:p>
      <w:pPr>
        <w:pStyle w:val="Compact"/>
        <w:numPr>
          <w:ilvl w:val="0"/>
          <w:numId w:val="1020"/>
        </w:numPr>
      </w:pPr>
      <w:r>
        <w:t xml:space="preserve">migraciones.</w:t>
      </w:r>
    </w:p>
    <w:p>
      <w:pPr>
        <w:pStyle w:val="FirstParagraph"/>
      </w:pPr>
      <w:r>
        <w:t xml:space="preserve">Esto sustituye heurísticas como</w:t>
      </w:r>
      <w:r>
        <w:t xml:space="preserve"> </w:t>
      </w:r>
      <w:r>
        <w:t xml:space="preserve">“</w:t>
      </w:r>
      <w:r>
        <w:t xml:space="preserve">premium si el tag contiene premium</w:t>
      </w:r>
      <w:r>
        <w:t xml:space="preserve">”</w:t>
      </w:r>
      <w:r>
        <w:t xml:space="preserve"> </w:t>
      </w:r>
      <w:r>
        <w:t xml:space="preserve">y permite gobernar el catálogo.</w:t>
      </w:r>
    </w:p>
    <w:bookmarkEnd w:id="69"/>
    <w:bookmarkStart w:id="70" w:name="viewerrelease"/>
    <w:p>
      <w:pPr>
        <w:pStyle w:val="Heading2"/>
        <w:keepNext/>
        <w:widowControl/>
      </w:pPr>
      <w:r>
        <w:t xml:space="preserve">7.3 ViewerRelease</w:t>
      </w:r>
    </w:p>
    <w:p>
      <w:pPr>
        <w:pStyle w:val="FirstParagraph"/>
      </w:pPr>
      <w:r>
        <w:t xml:space="preserve">Objeto inmutable:</w:t>
      </w:r>
    </w:p>
    <w:p>
      <w:pPr>
        <w:pStyle w:val="SourceCode"/>
        <w:spacing w:before="80" w:after="120"/>
        <w:shd w:fill="F1F5F9"/>
      </w:pPr>
      <w:r>
        <w:rPr>
          <w:rStyle w:val="VerbatimChar"/>
          <w:rFonts w:ascii="Cascadia Mono" w:hAnsi="Cascadia Mono"/>
          <w:color w:val="0F172A"/>
          <w:sz w:val="15"/>
        </w:rPr>
        <w:t xml:space="preserve">releaseId, publishId, projectVersionId, compilerVersion,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manifestVersions, contentHash, artifactPrefix, cspPolicy,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allowedOrigins, status, createdAt, revokedAt</w:t>
      </w:r>
    </w:p>
    <w:p>
      <w:pPr>
        <w:pStyle w:val="FirstParagraph"/>
      </w:pPr>
      <w:r>
        <w:t xml:space="preserve">La URL estable apunta a un release activo; no se sobrescriben artifacts históricos.</w:t>
      </w:r>
    </w:p>
    <w:bookmarkEnd w:id="70"/>
    <w:bookmarkStart w:id="71" w:name="campaignplan-de-ia"/>
    <w:p>
      <w:pPr>
        <w:pStyle w:val="Heading2"/>
        <w:keepNext/>
        <w:widowControl/>
      </w:pPr>
      <w:r>
        <w:t xml:space="preserve">7.4 CampaignPlan de IA</w:t>
      </w:r>
    </w:p>
    <w:p>
      <w:pPr>
        <w:pStyle w:val="FirstParagraph"/>
      </w:pPr>
      <w:r>
        <w:t xml:space="preserve">La IA no devuelve código. Devuelve JSON:</w:t>
      </w:r>
    </w:p>
    <w:p>
      <w:pPr>
        <w:pStyle w:val="SourceCode"/>
        <w:spacing w:before="80" w:after="120"/>
        <w:shd w:fill="F1F5F9"/>
      </w:pPr>
      <w:r>
        <w:rPr>
          <w:rStyle w:val="VerbatimChar"/>
          <w:rFonts w:ascii="Cascadia Mono" w:hAnsi="Cascadia Mono"/>
          <w:color w:val="0F172A"/>
          <w:sz w:val="15"/>
        </w:rPr>
        <w:t xml:space="preserve">briefSummary, audience, objective, visualDirection,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recommendedModules[], copyVariants[], channelVariants[],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assetAssignments[], outputPresets[], estimatedCredits,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risks[], confidence, modelMetadata</w:t>
      </w:r>
    </w:p>
    <w:p>
      <w:pPr>
        <w:pStyle w:val="FirstParagraph"/>
      </w:pPr>
      <w:r>
        <w:t xml:space="preserve">Un compilador determinista lo transforma en uno o varios ProjectDocument. El usuario aprueba antes de publicar o consumir acciones caras.</w:t>
      </w:r>
    </w:p>
    <w:bookmarkEnd w:id="71"/>
    <w:bookmarkEnd w:id="72"/>
    <w:bookmarkStart w:id="75" w:name="diseño-de-api"/>
    <w:p>
      <w:pPr>
        <w:pStyle w:val="Heading1"/>
        <w:keepNext/>
        <w:widowControl/>
        <w:pageBreakBefore/>
      </w:pPr>
      <w:r>
        <w:br w:type="page"/>
      </w:r>
      <w:r>
        <w:t xml:space="preserve">8. Diseño de API</w:t>
      </w:r>
    </w:p>
    <w:bookmarkStart w:id="73" w:name="estándar"/>
    <w:p>
      <w:pPr>
        <w:pStyle w:val="Heading2"/>
        <w:keepNext/>
        <w:widowControl/>
      </w:pPr>
      <w:r>
        <w:t xml:space="preserve">8.1 Estándar</w:t>
      </w:r>
    </w:p>
    <w:p>
      <w:pPr>
        <w:pStyle w:val="Compact"/>
        <w:numPr>
          <w:ilvl w:val="0"/>
          <w:numId w:val="1021"/>
        </w:numPr>
      </w:pPr>
      <w:r>
        <w:t xml:space="preserve">Base</w:t>
      </w:r>
      <w:r>
        <w:t xml:space="preserve"> </w:t>
      </w:r>
      <w:r>
        <w:rPr>
          <w:rStyle w:val="VerbatimChar"/>
        </w:rPr>
        <w:t xml:space="preserve">/v1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OpenAPI generado desde schemas de runtime.</w:t>
      </w:r>
    </w:p>
    <w:p>
      <w:pPr>
        <w:pStyle w:val="Compact"/>
        <w:numPr>
          <w:ilvl w:val="0"/>
          <w:numId w:val="1021"/>
        </w:numPr>
      </w:pPr>
      <w:r>
        <w:t xml:space="preserve">IDs UUID opacos.</w:t>
      </w:r>
    </w:p>
    <w:p>
      <w:pPr>
        <w:pStyle w:val="Compact"/>
        <w:numPr>
          <w:ilvl w:val="0"/>
          <w:numId w:val="1021"/>
        </w:numPr>
      </w:pPr>
      <w:r>
        <w:t xml:space="preserve">UTC ISO-8601.</w:t>
      </w:r>
    </w:p>
    <w:p>
      <w:pPr>
        <w:pStyle w:val="Compact"/>
        <w:numPr>
          <w:ilvl w:val="0"/>
          <w:numId w:val="1021"/>
        </w:numPr>
      </w:pPr>
      <w:r>
        <w:t xml:space="preserve">Cursor pagination.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Idempotency-Key</w:t>
      </w:r>
      <w:r>
        <w:t xml:space="preserve"> </w:t>
      </w:r>
      <w:r>
        <w:t xml:space="preserve">en mutaciones con coste o efecto externo.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If-Match</w:t>
      </w:r>
      <w:r>
        <w:t xml:space="preserve">/revision para updates de proyecto.</w:t>
      </w:r>
    </w:p>
    <w:p>
      <w:pPr>
        <w:pStyle w:val="Compact"/>
        <w:numPr>
          <w:ilvl w:val="0"/>
          <w:numId w:val="1021"/>
        </w:numPr>
      </w:pPr>
      <w:r>
        <w:t xml:space="preserve">errores estables y no filtrado de secretos.</w:t>
      </w:r>
    </w:p>
    <w:p>
      <w:pPr>
        <w:pStyle w:val="FirstParagraph"/>
      </w:pPr>
      <w:r>
        <w:t xml:space="preserve">Respuesta objetivo:</w:t>
      </w:r>
    </w:p>
    <w:p>
      <w:pPr>
        <w:pStyle w:val="SourceCode"/>
        <w:spacing w:before="80" w:after="120"/>
        <w:shd w:fill="F1F5F9"/>
      </w:pPr>
      <w:r>
        <w:rPr>
          <w:rStyle w:val="FunctionTok"/>
          <w:rFonts w:ascii="Cascadia Mono" w:hAnsi="Cascadia Mono"/>
          <w:color w:val="0F172A"/>
          <w:sz w:val="15"/>
        </w:rPr>
        <w:t xml:space="preserve">{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"data"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FunctionTok"/>
          <w:rFonts w:ascii="Cascadia Mono" w:hAnsi="Cascadia Mono"/>
          <w:color w:val="0F172A"/>
          <w:sz w:val="15"/>
        </w:rPr>
        <w:t xml:space="preserve">{},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"meta"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FunctionTok"/>
          <w:rFonts w:ascii="Cascadia Mono" w:hAnsi="Cascadia Mono"/>
          <w:color w:val="0F172A"/>
          <w:sz w:val="15"/>
        </w:rPr>
        <w:t xml:space="preserve">{</w:t>
      </w:r>
      <w:r>
        <w:rPr>
          <w:rStyle w:val="DataTypeTok"/>
          <w:rFonts w:ascii="Cascadia Mono" w:hAnsi="Cascadia Mono"/>
          <w:color w:val="0F172A"/>
          <w:sz w:val="15"/>
        </w:rPr>
        <w:t xml:space="preserve">"requestId"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"..."</w:t>
      </w:r>
      <w:r>
        <w:rPr>
          <w:rStyle w:val="FunctionTok"/>
          <w:rFonts w:ascii="Cascadia Mono" w:hAnsi="Cascadia Mono"/>
          <w:color w:val="0F172A"/>
          <w:sz w:val="15"/>
        </w:rPr>
        <w:t xml:space="preserve">}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FunctionTok"/>
          <w:rFonts w:ascii="Cascadia Mono" w:hAnsi="Cascadia Mono"/>
          <w:color w:val="0F172A"/>
          <w:sz w:val="15"/>
        </w:rPr>
        <w:t xml:space="preserve">}</w:t>
      </w:r>
    </w:p>
    <w:p>
      <w:pPr>
        <w:pStyle w:val="FirstParagraph"/>
      </w:pPr>
      <w:r>
        <w:t xml:space="preserve">Error objetivo:</w:t>
      </w:r>
    </w:p>
    <w:p>
      <w:pPr>
        <w:pStyle w:val="SourceCode"/>
        <w:spacing w:before="80" w:after="120"/>
        <w:shd w:fill="F1F5F9"/>
      </w:pPr>
      <w:r>
        <w:rPr>
          <w:rStyle w:val="FunctionTok"/>
          <w:rFonts w:ascii="Cascadia Mono" w:hAnsi="Cascadia Mono"/>
          <w:color w:val="0F172A"/>
          <w:sz w:val="15"/>
        </w:rPr>
        <w:t xml:space="preserve">{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DataTypeTok"/>
          <w:rFonts w:ascii="Cascadia Mono" w:hAnsi="Cascadia Mono"/>
          <w:color w:val="0F172A"/>
          <w:sz w:val="15"/>
        </w:rPr>
        <w:t xml:space="preserve">"error"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FunctionTok"/>
          <w:rFonts w:ascii="Cascadia Mono" w:hAnsi="Cascadia Mono"/>
          <w:color w:val="0F172A"/>
          <w:sz w:val="15"/>
        </w:rPr>
        <w:t xml:space="preserve">{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  </w:t>
      </w:r>
      <w:r>
        <w:rPr>
          <w:rStyle w:val="DataTypeTok"/>
          <w:rFonts w:ascii="Cascadia Mono" w:hAnsi="Cascadia Mono"/>
          <w:color w:val="0F172A"/>
          <w:sz w:val="15"/>
        </w:rPr>
        <w:t xml:space="preserve">"code"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"PROJECT_REVISION_CONFLICT"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  </w:t>
      </w:r>
      <w:r>
        <w:rPr>
          <w:rStyle w:val="DataTypeTok"/>
          <w:rFonts w:ascii="Cascadia Mono" w:hAnsi="Cascadia Mono"/>
          <w:color w:val="0F172A"/>
          <w:sz w:val="15"/>
        </w:rPr>
        <w:t xml:space="preserve">"message"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"The project changed since it was loaded"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  </w:t>
      </w:r>
      <w:r>
        <w:rPr>
          <w:rStyle w:val="DataTypeTok"/>
          <w:rFonts w:ascii="Cascadia Mono" w:hAnsi="Cascadia Mono"/>
          <w:color w:val="0F172A"/>
          <w:sz w:val="15"/>
        </w:rPr>
        <w:t xml:space="preserve">"details"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FunctionTok"/>
          <w:rFonts w:ascii="Cascadia Mono" w:hAnsi="Cascadia Mono"/>
          <w:color w:val="0F172A"/>
          <w:sz w:val="15"/>
        </w:rPr>
        <w:t xml:space="preserve">{</w:t>
      </w:r>
      <w:r>
        <w:rPr>
          <w:rStyle w:val="DataTypeTok"/>
          <w:rFonts w:ascii="Cascadia Mono" w:hAnsi="Cascadia Mono"/>
          <w:color w:val="0F172A"/>
          <w:sz w:val="15"/>
        </w:rPr>
        <w:t xml:space="preserve">"expectedRevision"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ecValTok"/>
          <w:rFonts w:ascii="Cascadia Mono" w:hAnsi="Cascadia Mono"/>
          <w:color w:val="0F172A"/>
          <w:sz w:val="15"/>
        </w:rPr>
        <w:t xml:space="preserve">12</w:t>
      </w:r>
      <w:r>
        <w:rPr>
          <w:rStyle w:val="FunctionTok"/>
          <w:rFonts w:ascii="Cascadia Mono" w:hAnsi="Cascadia Mono"/>
          <w:color w:val="0F172A"/>
          <w:sz w:val="15"/>
        </w:rPr>
        <w:t xml:space="preserve">,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ataTypeTok"/>
          <w:rFonts w:ascii="Cascadia Mono" w:hAnsi="Cascadia Mono"/>
          <w:color w:val="0F172A"/>
          <w:sz w:val="15"/>
        </w:rPr>
        <w:t xml:space="preserve">"actualRevision"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DecValTok"/>
          <w:rFonts w:ascii="Cascadia Mono" w:hAnsi="Cascadia Mono"/>
          <w:color w:val="0F172A"/>
          <w:sz w:val="15"/>
        </w:rPr>
        <w:t xml:space="preserve">13</w:t>
      </w:r>
      <w:r>
        <w:rPr>
          <w:rStyle w:val="FunctionTok"/>
          <w:rFonts w:ascii="Cascadia Mono" w:hAnsi="Cascadia Mono"/>
          <w:color w:val="0F172A"/>
          <w:sz w:val="15"/>
        </w:rPr>
        <w:t xml:space="preserve">},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  </w:t>
      </w:r>
      <w:r>
        <w:rPr>
          <w:rStyle w:val="DataTypeTok"/>
          <w:rFonts w:ascii="Cascadia Mono" w:hAnsi="Cascadia Mono"/>
          <w:color w:val="0F172A"/>
          <w:sz w:val="15"/>
        </w:rPr>
        <w:t xml:space="preserve">"requestId"</w:t>
      </w:r>
      <w:r>
        <w:rPr>
          <w:rStyle w:val="FunctionTok"/>
          <w:rFonts w:ascii="Cascadia Mono" w:hAnsi="Cascadia Mono"/>
          <w:color w:val="0F172A"/>
          <w:sz w:val="15"/>
        </w:rPr>
        <w:t xml:space="preserve">:</w:t>
      </w:r>
      <w:r>
        <w:rPr>
          <w:rStyle w:val="NormalTok"/>
          <w:rFonts w:ascii="Cascadia Mono" w:hAnsi="Cascadia Mono"/>
          <w:color w:val="0F172A"/>
          <w:sz w:val="15"/>
        </w:rPr>
        <w:t xml:space="preserve"> </w:t>
      </w:r>
      <w:r>
        <w:rPr>
          <w:rStyle w:val="StringTok"/>
          <w:rFonts w:ascii="Cascadia Mono" w:hAnsi="Cascadia Mono"/>
          <w:color w:val="0F172A"/>
          <w:sz w:val="15"/>
        </w:rPr>
        <w:t xml:space="preserve">"..."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NormalTok"/>
          <w:rFonts w:ascii="Cascadia Mono" w:hAnsi="Cascadia Mono"/>
          <w:color w:val="0F172A"/>
          <w:sz w:val="15"/>
        </w:rPr>
        <w:t xml:space="preserve">  </w:t>
      </w:r>
      <w:r>
        <w:rPr>
          <w:rStyle w:val="FunctionTok"/>
          <w:rFonts w:ascii="Cascadia Mono" w:hAnsi="Cascadia Mono"/>
          <w:color w:val="0F172A"/>
          <w:sz w:val="15"/>
        </w:rPr>
        <w:t xml:space="preserve">}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FunctionTok"/>
          <w:rFonts w:ascii="Cascadia Mono" w:hAnsi="Cascadia Mono"/>
          <w:color w:val="0F172A"/>
          <w:sz w:val="15"/>
        </w:rPr>
        <w:t xml:space="preserve">}</w:t>
      </w:r>
    </w:p>
    <w:bookmarkEnd w:id="73"/>
    <w:bookmarkStart w:id="74" w:name="endpoint-matrix-prioritaria"/>
    <w:p>
      <w:pPr>
        <w:pStyle w:val="Heading2"/>
        <w:keepNext/>
        <w:widowControl/>
        <w:pageBreakBefore/>
      </w:pPr>
      <w:r>
        <w:br w:type="page"/>
      </w:r>
      <w:r>
        <w:t xml:space="preserve">8.2 Endpoint matrix prioritaria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1458"/>
        <w:gridCol w:w="3304"/>
        <w:gridCol w:w="972"/>
        <w:gridCol w:w="3985"/>
      </w:tblGrid>
      <w:tr>
        <w:trPr>
          <w:tblHeader w:val="on"/>
          <w:tblHeader w:val="true"/>
          <w:cantSplit/>
        </w:trP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Dominio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Endpoint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Gate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Notas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Auth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/v1/auth/register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Actual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Añadir verification state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Auth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/v1/auth/login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Actual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Mover sesión a cookie segura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Auth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/v1/auth/refresh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G1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Rotación y reuse detection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Auth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/v1/auth/forgot-password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G1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Respuesta no enumerable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Auth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/v1/auth/reset-password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G1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Revocar sesiones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Auth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GET /v1/auth/sessions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G1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Gestión por dispositivo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Workspaces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GET /v1/workspaces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G2/G5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Membership-aware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Workspaces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/v1/workspaces/:id/select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G2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Contexto explícito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Entitlements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GET /v1/entitlements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G1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Snapshot canónico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Projects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/v1/projects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G2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Valida ProjectDocument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Projects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GET /v1/projects/:id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G2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Tenant scoped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Projects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PATCH /v1/projects/:id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G2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Optimistic locking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Versions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/v1/projects/:id/versions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G2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Snapshot inmutable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Presets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/v1/presets/import-legacy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G2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Idempotente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Assets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/v1/assets/upload-intents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G3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Quota + signed URL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Assets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/v1/assets/:id/complete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G3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Validación async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Publish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/v1/publishes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G3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Compila release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Publish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/v1/publishes/:id/revoke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G3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Auditado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Exports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/v1/exports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G4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Reserva créditos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Credits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GET /v1/credits/balance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G4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Ledger projection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Billing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/v1/billing/checkout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Actual/G1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URL server-side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Billing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/v1/billing/portal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G1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Stripe portal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Billing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/v1/webhooks/stripe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G1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Raw body, signature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Legal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GET /v1/legal/documents/current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G1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Versiones vigentes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Legal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/v1/legal/acceptances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G1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Before paid action</w:t>
            </w:r>
          </w:p>
        </w:tc>
      </w:tr>
      <w:tr>
        <w:tc>
          <w:tcPr>
            <w:tcW w:type="dxa" w:w="145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AI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5"/>
              </w:rPr>
              <w:t xml:space="preserve">POST /v1/ai/campaign-plans</w:t>
            </w:r>
          </w:p>
        </w:tc>
        <w:tc>
          <w:tcPr>
            <w:tcW w:type="dxa" w:w="97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5"/>
              </w:rPr>
              <w:t xml:space="preserve">G6</w:t>
            </w:r>
          </w:p>
        </w:tc>
        <w:tc>
          <w:tcPr>
            <w:tcW w:type="dxa" w:w="398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5"/>
              </w:rPr>
              <w:t xml:space="preserve">Structured output</w:t>
            </w:r>
          </w:p>
        </w:tc>
      </w:tr>
    </w:tbl>
    <w:bookmarkEnd w:id="74"/>
    <w:bookmarkEnd w:id="75"/>
    <w:bookmarkStart w:id="81" w:name="identidad-sesión-y-seguridad"/>
    <w:p>
      <w:pPr>
        <w:pStyle w:val="Heading1"/>
        <w:keepNext/>
        <w:widowControl/>
        <w:pageBreakBefore/>
      </w:pPr>
      <w:r>
        <w:br w:type="page"/>
      </w:r>
      <w:r>
        <w:t xml:space="preserve">9. Identidad, sesión y seguridad</w:t>
      </w:r>
    </w:p>
    <w:bookmarkStart w:id="76" w:name="estado-actual"/>
    <w:p>
      <w:pPr>
        <w:pStyle w:val="Heading2"/>
        <w:keepNext/>
        <w:widowControl/>
      </w:pPr>
      <w:r>
        <w:t xml:space="preserve">9.1 Estado actual</w:t>
      </w:r>
    </w:p>
    <w:p>
      <w:pPr>
        <w:pStyle w:val="FirstParagraph"/>
      </w:pPr>
      <w:r>
        <w:t xml:space="preserve">La API crea tokens opacos, guarda sólo su hash y aplica expiración [G10]. Esta decisión es correcta. El problema es el transporte y almacenamiento: el cliente guarda el token largo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 lo usa como bearer para todas las llamadas [G4].</w:t>
      </w:r>
    </w:p>
    <w:bookmarkEnd w:id="76"/>
    <w:bookmarkStart w:id="77" w:name="arquitectura-de-sesión-objetivo"/>
    <w:p>
      <w:pPr>
        <w:pStyle w:val="Heading2"/>
        <w:keepNext/>
        <w:widowControl/>
      </w:pPr>
      <w:r>
        <w:t xml:space="preserve">9.2 Arquitectura de sesión objetivo</w:t>
      </w:r>
    </w:p>
    <w:p>
      <w:pPr>
        <w:pStyle w:val="FirstParagraph"/>
      </w:pPr>
      <w:r>
        <w:t xml:space="preserve">Opción preferida:</w:t>
      </w:r>
    </w:p>
    <w:p>
      <w:pPr>
        <w:pStyle w:val="Compact"/>
        <w:numPr>
          <w:ilvl w:val="0"/>
          <w:numId w:val="1022"/>
        </w:numPr>
      </w:pPr>
      <w:r>
        <w:t xml:space="preserve">cookie de sesión/refresh</w:t>
      </w:r>
      <w:r>
        <w:t xml:space="preserve"> </w:t>
      </w:r>
      <w:r>
        <w:rPr>
          <w:rStyle w:val="VerbatimChar"/>
        </w:rPr>
        <w:t xml:space="preserve">Secure; HttpOnly; SameSite=Lax; Path=/</w:t>
      </w:r>
      <w:r>
        <w:t xml:space="preserve">;</w:t>
      </w:r>
    </w:p>
    <w:p>
      <w:pPr>
        <w:pStyle w:val="Compact"/>
        <w:numPr>
          <w:ilvl w:val="0"/>
          <w:numId w:val="1022"/>
        </w:numPr>
      </w:pPr>
      <w:r>
        <w:t xml:space="preserve">access token corto sólo en memoria si se necesita;</w:t>
      </w:r>
    </w:p>
    <w:p>
      <w:pPr>
        <w:pStyle w:val="Compact"/>
        <w:numPr>
          <w:ilvl w:val="0"/>
          <w:numId w:val="1022"/>
        </w:numPr>
      </w:pPr>
      <w:r>
        <w:t xml:space="preserve">rotation en cada refresh;</w:t>
      </w:r>
    </w:p>
    <w:p>
      <w:pPr>
        <w:pStyle w:val="Compact"/>
        <w:numPr>
          <w:ilvl w:val="0"/>
          <w:numId w:val="1022"/>
        </w:numPr>
      </w:pPr>
      <w:r>
        <w:t xml:space="preserve">token family y reuse detection;</w:t>
      </w:r>
    </w:p>
    <w:p>
      <w:pPr>
        <w:pStyle w:val="Compact"/>
        <w:numPr>
          <w:ilvl w:val="0"/>
          <w:numId w:val="1022"/>
        </w:numPr>
      </w:pPr>
      <w:r>
        <w:t xml:space="preserve">revocación por sesión y global;</w:t>
      </w:r>
    </w:p>
    <w:p>
      <w:pPr>
        <w:pStyle w:val="Compact"/>
        <w:numPr>
          <w:ilvl w:val="0"/>
          <w:numId w:val="1022"/>
        </w:numPr>
      </w:pPr>
      <w:r>
        <w:t xml:space="preserve">CSRF token/origin checks en mutaciones;</w:t>
      </w:r>
    </w:p>
    <w:p>
      <w:pPr>
        <w:pStyle w:val="Compact"/>
        <w:numPr>
          <w:ilvl w:val="0"/>
          <w:numId w:val="1022"/>
        </w:numPr>
      </w:pPr>
      <w:r>
        <w:t xml:space="preserve">dominio same-site;</w:t>
      </w:r>
    </w:p>
    <w:p>
      <w:pPr>
        <w:pStyle w:val="Compact"/>
        <w:numPr>
          <w:ilvl w:val="0"/>
          <w:numId w:val="1022"/>
        </w:numPr>
      </w:pPr>
      <w:r>
        <w:t xml:space="preserve">session metadata: device, IP truncada, user agent, last used;</w:t>
      </w:r>
    </w:p>
    <w:p>
      <w:pPr>
        <w:pStyle w:val="Compact"/>
        <w:numPr>
          <w:ilvl w:val="0"/>
          <w:numId w:val="1022"/>
        </w:numPr>
      </w:pPr>
      <w:r>
        <w:t xml:space="preserve">expiry absoluta e idle expiry.</w:t>
      </w:r>
    </w:p>
    <w:bookmarkEnd w:id="77"/>
    <w:bookmarkStart w:id="78" w:name="password-y-recuperación"/>
    <w:p>
      <w:pPr>
        <w:pStyle w:val="Heading2"/>
        <w:keepNext/>
        <w:widowControl/>
      </w:pPr>
      <w:r>
        <w:t xml:space="preserve">9.3 Password y recuperación</w:t>
      </w:r>
    </w:p>
    <w:p>
      <w:pPr>
        <w:pStyle w:val="FirstParagraph"/>
      </w:pPr>
      <w:r>
        <w:t xml:space="preserve">El scrypt nativo actual es aceptable como foundation, pero debe versionarse con parámetros explícitos y capacidad de rehash. Añadir:</w:t>
      </w:r>
    </w:p>
    <w:p>
      <w:pPr>
        <w:pStyle w:val="Compact"/>
        <w:numPr>
          <w:ilvl w:val="0"/>
          <w:numId w:val="1023"/>
        </w:numPr>
      </w:pPr>
      <w:r>
        <w:t xml:space="preserve">email verification;</w:t>
      </w:r>
    </w:p>
    <w:p>
      <w:pPr>
        <w:pStyle w:val="Compact"/>
        <w:numPr>
          <w:ilvl w:val="0"/>
          <w:numId w:val="1023"/>
        </w:numPr>
      </w:pPr>
      <w:r>
        <w:t xml:space="preserve">reset token one-time y corto;</w:t>
      </w:r>
    </w:p>
    <w:p>
      <w:pPr>
        <w:pStyle w:val="Compact"/>
        <w:numPr>
          <w:ilvl w:val="0"/>
          <w:numId w:val="1023"/>
        </w:numPr>
      </w:pPr>
      <w:r>
        <w:t xml:space="preserve">invalidación de sesiones al cambiar password;</w:t>
      </w:r>
    </w:p>
    <w:p>
      <w:pPr>
        <w:pStyle w:val="Compact"/>
        <w:numPr>
          <w:ilvl w:val="0"/>
          <w:numId w:val="1023"/>
        </w:numPr>
      </w:pPr>
      <w:r>
        <w:t xml:space="preserve">rate limits específicos para register/login/reset;</w:t>
      </w:r>
    </w:p>
    <w:p>
      <w:pPr>
        <w:pStyle w:val="Compact"/>
        <w:numPr>
          <w:ilvl w:val="0"/>
          <w:numId w:val="1023"/>
        </w:numPr>
      </w:pPr>
      <w:r>
        <w:t xml:space="preserve">protección contra enumeración;</w:t>
      </w:r>
    </w:p>
    <w:p>
      <w:pPr>
        <w:pStyle w:val="Compact"/>
        <w:numPr>
          <w:ilvl w:val="0"/>
          <w:numId w:val="1023"/>
        </w:numPr>
      </w:pPr>
      <w:r>
        <w:t xml:space="preserve">bloqueo progresivo, no bloqueo permanente fácil de abusar;</w:t>
      </w:r>
    </w:p>
    <w:p>
      <w:pPr>
        <w:pStyle w:val="Compact"/>
        <w:numPr>
          <w:ilvl w:val="0"/>
          <w:numId w:val="1023"/>
        </w:numPr>
      </w:pPr>
      <w:r>
        <w:t xml:space="preserve">MFA sólo cuando haya necesidad enterprise o cuentas administrativas.</w:t>
      </w:r>
    </w:p>
    <w:bookmarkEnd w:id="78"/>
    <w:bookmarkStart w:id="79" w:name="multi-tenancy-y-rbac"/>
    <w:p>
      <w:pPr>
        <w:pStyle w:val="Heading2"/>
        <w:keepNext/>
        <w:widowControl/>
      </w:pPr>
      <w:r>
        <w:t xml:space="preserve">9.4 Multi-tenancy y RBAC</w:t>
      </w:r>
    </w:p>
    <w:p>
      <w:pPr>
        <w:pStyle w:val="FirstParagraph"/>
      </w:pPr>
      <w:r>
        <w:t xml:space="preserve">Roles objetivo: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owner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admin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editor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viewer</w:t>
      </w:r>
      <w:r>
        <w:t xml:space="preserve">;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billing</w:t>
      </w:r>
      <w:r>
        <w:t xml:space="preserve">.</w:t>
      </w:r>
    </w:p>
    <w:p>
      <w:pPr>
        <w:pStyle w:val="FirstParagraph"/>
      </w:pPr>
      <w:r>
        <w:t xml:space="preserve">Cada route debe resolver:</w:t>
      </w:r>
    </w:p>
    <w:p>
      <w:pPr>
        <w:pStyle w:val="SourceCode"/>
        <w:spacing w:before="80" w:after="120"/>
        <w:shd w:fill="F1F5F9"/>
      </w:pPr>
      <w:r>
        <w:rPr>
          <w:rStyle w:val="VerbatimChar"/>
          <w:rFonts w:ascii="Cascadia Mono" w:hAnsi="Cascadia Mono"/>
          <w:color w:val="0F172A"/>
          <w:sz w:val="15"/>
        </w:rPr>
        <w:t xml:space="preserve">principal → selected workspace → membership → role → entitlement → quota → resource ownership</w:t>
      </w:r>
    </w:p>
    <w:p>
      <w:pPr>
        <w:pStyle w:val="FirstParagraph"/>
      </w:pPr>
      <w:r>
        <w:t xml:space="preserve">No aceptar</w:t>
      </w:r>
      <w:r>
        <w:t xml:space="preserve"> </w:t>
      </w:r>
      <w:r>
        <w:rPr>
          <w:rStyle w:val="VerbatimChar"/>
        </w:rPr>
        <w:t xml:space="preserve">workspaceId</w:t>
      </w:r>
      <w:r>
        <w:t xml:space="preserve"> </w:t>
      </w:r>
      <w:r>
        <w:t xml:space="preserve">sin comprobar membresía. Añadir tests de IDOR y tenant leakage. PostgreSQL RLS puede adoptarse como defensa en profundidad más adelante; no sustituye autorización de aplicación.</w:t>
      </w:r>
    </w:p>
    <w:bookmarkEnd w:id="79"/>
    <w:bookmarkStart w:id="80" w:name="baseline-owasp"/>
    <w:p>
      <w:pPr>
        <w:pStyle w:val="Heading2"/>
        <w:keepNext/>
        <w:widowControl/>
      </w:pPr>
      <w:r>
        <w:t xml:space="preserve">9.5 Baseline OWASP</w:t>
      </w:r>
    </w:p>
    <w:p>
      <w:pPr>
        <w:pStyle w:val="FirstParagraph"/>
      </w:pPr>
      <w:r>
        <w:t xml:space="preserve">Usar OWASP ASVS como catálogo de verificación y el File Upload Cheat Sheet para assets [O3, O4]. Paid beta: objetivo ASVS Level 1 completo y selección Level 2 para auth, access control, session, files, crypto y logging.</w:t>
      </w:r>
    </w:p>
    <w:bookmarkEnd w:id="80"/>
    <w:bookmarkEnd w:id="81"/>
    <w:bookmarkStart w:id="85" w:name="persistencia-de-proyectos-y-presets"/>
    <w:p>
      <w:pPr>
        <w:pStyle w:val="Heading1"/>
        <w:keepNext/>
        <w:widowControl/>
        <w:pageBreakBefore/>
      </w:pPr>
      <w:r>
        <w:br w:type="page"/>
      </w:r>
      <w:r>
        <w:t xml:space="preserve">10. Persistencia de proyectos y presets</w:t>
      </w:r>
    </w:p>
    <w:bookmarkStart w:id="82" w:name="modelo-de-guardado"/>
    <w:p>
      <w:pPr>
        <w:pStyle w:val="Heading2"/>
        <w:keepNext/>
        <w:widowControl/>
      </w:pPr>
      <w:r>
        <w:t xml:space="preserve">10.1 Modelo de guardado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projects</w:t>
      </w:r>
      <w:r>
        <w:t xml:space="preserve"> </w:t>
      </w:r>
      <w:r>
        <w:t xml:space="preserve">contiene metadata, estado, revision y puntero a versión actual.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project_current_documents</w:t>
      </w:r>
      <w:r>
        <w:t xml:space="preserve"> </w:t>
      </w:r>
      <w:r>
        <w:t xml:space="preserve">o snapshot actual optimizado para autosave.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project_versions</w:t>
      </w:r>
      <w:r>
        <w:t xml:space="preserve"> </w:t>
      </w:r>
      <w:r>
        <w:t xml:space="preserve">es inmutable.</w:t>
      </w:r>
    </w:p>
    <w:p>
      <w:pPr>
        <w:pStyle w:val="Compact"/>
        <w:numPr>
          <w:ilvl w:val="0"/>
          <w:numId w:val="1025"/>
        </w:numPr>
      </w:pPr>
      <w:r>
        <w:t xml:space="preserve">autosave con debounce y backoff;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revision</w:t>
      </w:r>
      <w:r>
        <w:t xml:space="preserve"> </w:t>
      </w:r>
      <w:r>
        <w:t xml:space="preserve">evita lost updates;</w:t>
      </w:r>
    </w:p>
    <w:p>
      <w:pPr>
        <w:pStyle w:val="Compact"/>
        <w:numPr>
          <w:ilvl w:val="0"/>
          <w:numId w:val="1025"/>
        </w:numPr>
      </w:pPr>
      <w:r>
        <w:t xml:space="preserve">versionar en hitos: primer guardado, cambio de módulo, publicación, aprobación y restore;</w:t>
      </w:r>
    </w:p>
    <w:p>
      <w:pPr>
        <w:pStyle w:val="Compact"/>
        <w:numPr>
          <w:ilvl w:val="0"/>
          <w:numId w:val="1025"/>
        </w:numPr>
      </w:pPr>
      <w:r>
        <w:t xml:space="preserve">soft delete con retention configurable;</w:t>
      </w:r>
    </w:p>
    <w:p>
      <w:pPr>
        <w:pStyle w:val="Compact"/>
        <w:numPr>
          <w:ilvl w:val="0"/>
          <w:numId w:val="1025"/>
        </w:numPr>
      </w:pPr>
      <w:r>
        <w:t xml:space="preserve">restore crea nueva versión; no reescribe historia.</w:t>
      </w:r>
    </w:p>
    <w:bookmarkEnd w:id="82"/>
    <w:bookmarkStart w:id="83" w:name="integración-sin-romper-editor"/>
    <w:p>
      <w:pPr>
        <w:pStyle w:val="Heading2"/>
        <w:keepNext/>
        <w:widowControl/>
      </w:pPr>
      <w:r>
        <w:t xml:space="preserve">10.2 Integración sin romper editor</w:t>
      </w:r>
    </w:p>
    <w:p>
      <w:pPr>
        <w:pStyle w:val="Compact"/>
        <w:numPr>
          <w:ilvl w:val="0"/>
          <w:numId w:val="1026"/>
        </w:numPr>
      </w:pPr>
      <w:r>
        <w:t xml:space="preserve">Capturar estado actual mediante adapter.</w:t>
      </w:r>
    </w:p>
    <w:p>
      <w:pPr>
        <w:pStyle w:val="Compact"/>
        <w:numPr>
          <w:ilvl w:val="0"/>
          <w:numId w:val="1026"/>
        </w:numPr>
      </w:pPr>
      <w:r>
        <w:t xml:space="preserve">Validar contra ProjectDocument.</w:t>
      </w:r>
    </w:p>
    <w:p>
      <w:pPr>
        <w:pStyle w:val="Compact"/>
        <w:numPr>
          <w:ilvl w:val="0"/>
          <w:numId w:val="1026"/>
        </w:numPr>
      </w:pPr>
      <w:r>
        <w:t xml:space="preserve">Guardar en backend detrás de feature flag.</w:t>
      </w:r>
    </w:p>
    <w:p>
      <w:pPr>
        <w:pStyle w:val="Compact"/>
        <w:numPr>
          <w:ilvl w:val="0"/>
          <w:numId w:val="1026"/>
        </w:numPr>
      </w:pPr>
      <w:r>
        <w:t xml:space="preserve">Mantener fallback local temporal.</w:t>
      </w:r>
    </w:p>
    <w:p>
      <w:pPr>
        <w:pStyle w:val="Compact"/>
        <w:numPr>
          <w:ilvl w:val="0"/>
          <w:numId w:val="1026"/>
        </w:numPr>
      </w:pPr>
      <w:r>
        <w:t xml:space="preserve">Comparar round-trip local → cloud → editor con fixtures.</w:t>
      </w:r>
    </w:p>
    <w:p>
      <w:pPr>
        <w:pStyle w:val="Compact"/>
        <w:numPr>
          <w:ilvl w:val="0"/>
          <w:numId w:val="1026"/>
        </w:numPr>
      </w:pPr>
      <w:r>
        <w:t xml:space="preserve">Activar por cohortes.</w:t>
      </w:r>
    </w:p>
    <w:p>
      <w:pPr>
        <w:pStyle w:val="Compact"/>
        <w:numPr>
          <w:ilvl w:val="0"/>
          <w:numId w:val="1026"/>
        </w:numPr>
      </w:pPr>
      <w:r>
        <w:t xml:space="preserve">Retirar legacy sólo tras telemetría y rollback window.</w:t>
      </w:r>
    </w:p>
    <w:bookmarkEnd w:id="83"/>
    <w:bookmarkStart w:id="84" w:name="presets"/>
    <w:p>
      <w:pPr>
        <w:pStyle w:val="Heading2"/>
        <w:keepNext/>
        <w:widowControl/>
      </w:pPr>
      <w:r>
        <w:t xml:space="preserve">10.3 Presets</w:t>
      </w:r>
    </w:p>
    <w:p>
      <w:pPr>
        <w:pStyle w:val="FirstParagraph"/>
      </w:pPr>
      <w:r>
        <w:rPr>
          <w:rStyle w:val="VerbatimChar"/>
        </w:rPr>
        <w:t xml:space="preserve">ep_presets_v1</w:t>
      </w:r>
      <w:r>
        <w:t xml:space="preserve"> </w:t>
      </w:r>
      <w:r>
        <w:t xml:space="preserve">debe migrarse una vez mediante fingerprint. El backend devuelve presets cloud y conserva el original local hasta confirmación. No borrar ni sobrescribir silenciosamente.</w:t>
      </w:r>
    </w:p>
    <w:bookmarkEnd w:id="84"/>
    <w:bookmarkEnd w:id="85"/>
    <w:bookmarkStart w:id="88" w:name="assets-y-storage"/>
    <w:p>
      <w:pPr>
        <w:pStyle w:val="Heading1"/>
        <w:keepNext/>
        <w:widowControl/>
        <w:pageBreakBefore/>
      </w:pPr>
      <w:r>
        <w:br w:type="page"/>
      </w:r>
      <w:r>
        <w:t xml:space="preserve">11. Assets y storage</w:t>
      </w:r>
    </w:p>
    <w:bookmarkStart w:id="86" w:name="pipeline"/>
    <w:p>
      <w:pPr>
        <w:pStyle w:val="Heading2"/>
        <w:keepNext/>
        <w:widowControl/>
      </w:pPr>
      <w:r>
        <w:t xml:space="preserve">11.1 Pipeline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upload-intent</w:t>
      </w:r>
      <w:r>
        <w:t xml:space="preserve">: valida auth, plan, quota, tipo declarado y tamaño.</w:t>
      </w:r>
    </w:p>
    <w:p>
      <w:pPr>
        <w:pStyle w:val="Compact"/>
        <w:numPr>
          <w:ilvl w:val="0"/>
          <w:numId w:val="1027"/>
        </w:numPr>
      </w:pPr>
      <w:r>
        <w:t xml:space="preserve">Crea asset con estado</w:t>
      </w:r>
      <w:r>
        <w:t xml:space="preserve"> </w:t>
      </w:r>
      <w:r>
        <w:rPr>
          <w:rStyle w:val="VerbatimChar"/>
        </w:rPr>
        <w:t xml:space="preserve">uploading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Emite URL firmada de corta duración.</w:t>
      </w:r>
    </w:p>
    <w:p>
      <w:pPr>
        <w:pStyle w:val="Compact"/>
        <w:numPr>
          <w:ilvl w:val="0"/>
          <w:numId w:val="1027"/>
        </w:numPr>
      </w:pPr>
      <w:r>
        <w:t xml:space="preserve">Cliente sube directamente a quarantine prefix.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complete</w:t>
      </w:r>
      <w:r>
        <w:t xml:space="preserve">: confirma objeto y dispara validación.</w:t>
      </w:r>
    </w:p>
    <w:p>
      <w:pPr>
        <w:pStyle w:val="Compact"/>
        <w:numPr>
          <w:ilvl w:val="0"/>
          <w:numId w:val="1027"/>
        </w:numPr>
      </w:pPr>
      <w:r>
        <w:t xml:space="preserve">Detecta magic bytes, dimensiones, duración, codec y metadata.</w:t>
      </w:r>
    </w:p>
    <w:p>
      <w:pPr>
        <w:pStyle w:val="Compact"/>
        <w:numPr>
          <w:ilvl w:val="0"/>
          <w:numId w:val="1027"/>
        </w:numPr>
      </w:pPr>
      <w:r>
        <w:t xml:space="preserve">Genera variantes/thumbnail/poster.</w:t>
      </w:r>
    </w:p>
    <w:p>
      <w:pPr>
        <w:pStyle w:val="Compact"/>
        <w:numPr>
          <w:ilvl w:val="0"/>
          <w:numId w:val="1027"/>
        </w:numPr>
      </w:pPr>
      <w:r>
        <w:t xml:space="preserve">Marca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quarantined</w:t>
      </w:r>
      <w:r>
        <w:t xml:space="preserve">.</w:t>
      </w:r>
    </w:p>
    <w:bookmarkEnd w:id="86"/>
    <w:bookmarkStart w:id="87" w:name="reglas"/>
    <w:p>
      <w:pPr>
        <w:pStyle w:val="Heading2"/>
        <w:keepNext/>
        <w:widowControl/>
      </w:pPr>
      <w:r>
        <w:t xml:space="preserve">11.2 Reglas</w:t>
      </w:r>
    </w:p>
    <w:p>
      <w:pPr>
        <w:pStyle w:val="Compact"/>
        <w:numPr>
          <w:ilvl w:val="0"/>
          <w:numId w:val="1028"/>
        </w:numPr>
      </w:pPr>
      <w:r>
        <w:t xml:space="preserve">Private by default.</w:t>
      </w:r>
    </w:p>
    <w:p>
      <w:pPr>
        <w:pStyle w:val="Compact"/>
        <w:numPr>
          <w:ilvl w:val="0"/>
          <w:numId w:val="1028"/>
        </w:numPr>
      </w:pPr>
      <w:r>
        <w:t xml:space="preserve">Nombres internos aleatorios.</w:t>
      </w:r>
    </w:p>
    <w:p>
      <w:pPr>
        <w:pStyle w:val="Compact"/>
        <w:numPr>
          <w:ilvl w:val="0"/>
          <w:numId w:val="1028"/>
        </w:numPr>
      </w:pPr>
      <w:r>
        <w:t xml:space="preserve">No confiar en extensión ni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del navegador.</w:t>
      </w:r>
    </w:p>
    <w:p>
      <w:pPr>
        <w:pStyle w:val="Compact"/>
        <w:numPr>
          <w:ilvl w:val="0"/>
          <w:numId w:val="1028"/>
        </w:numPr>
      </w:pPr>
      <w:r>
        <w:t xml:space="preserve">Allowlist explícita.</w:t>
      </w:r>
    </w:p>
    <w:p>
      <w:pPr>
        <w:pStyle w:val="Compact"/>
        <w:numPr>
          <w:ilvl w:val="0"/>
          <w:numId w:val="1028"/>
        </w:numPr>
      </w:pPr>
      <w:r>
        <w:t xml:space="preserve">Límites por bytes, pixels, duración y frames.</w:t>
      </w:r>
    </w:p>
    <w:p>
      <w:pPr>
        <w:pStyle w:val="Compact"/>
        <w:numPr>
          <w:ilvl w:val="0"/>
          <w:numId w:val="1028"/>
        </w:numPr>
      </w:pPr>
      <w:r>
        <w:t xml:space="preserve">Nunca servir uploads desde el mismo origen ejecutable que la app sin controles.</w:t>
      </w:r>
    </w:p>
    <w:p>
      <w:pPr>
        <w:pStyle w:val="Compact"/>
        <w:numPr>
          <w:ilvl w:val="0"/>
          <w:numId w:val="1028"/>
        </w:numPr>
      </w:pPr>
      <w:r>
        <w:t xml:space="preserve">Re-encode de imágenes cuando sea viable.</w:t>
      </w:r>
    </w:p>
    <w:p>
      <w:pPr>
        <w:pStyle w:val="Compact"/>
        <w:numPr>
          <w:ilvl w:val="0"/>
          <w:numId w:val="1028"/>
        </w:numPr>
      </w:pPr>
      <w:r>
        <w:t xml:space="preserve">Video servido con content type correcto y range support.</w:t>
      </w:r>
    </w:p>
    <w:p>
      <w:pPr>
        <w:pStyle w:val="Compact"/>
        <w:numPr>
          <w:ilvl w:val="0"/>
          <w:numId w:val="1028"/>
        </w:numPr>
      </w:pPr>
      <w:r>
        <w:t xml:space="preserve">URLs firmadas no se guardan en ProjectDocument.</w:t>
      </w:r>
    </w:p>
    <w:p>
      <w:pPr>
        <w:pStyle w:val="Compact"/>
        <w:numPr>
          <w:ilvl w:val="0"/>
          <w:numId w:val="1028"/>
        </w:numPr>
      </w:pPr>
      <w:r>
        <w:t xml:space="preserve">Borrado lógico, grace period y garbage collector reference-aware.</w:t>
      </w:r>
    </w:p>
    <w:p>
      <w:pPr>
        <w:pStyle w:val="Compact"/>
        <w:numPr>
          <w:ilvl w:val="0"/>
          <w:numId w:val="1028"/>
        </w:numPr>
      </w:pPr>
      <w:r>
        <w:t xml:space="preserve">Data export/delete conforme a privacidad.</w:t>
      </w:r>
    </w:p>
    <w:bookmarkEnd w:id="87"/>
    <w:bookmarkEnd w:id="88"/>
    <w:bookmarkStart w:id="96" w:name="publicación-embed-y-export"/>
    <w:p>
      <w:pPr>
        <w:pStyle w:val="Heading1"/>
        <w:keepNext/>
        <w:widowControl/>
        <w:pageBreakBefore/>
      </w:pPr>
      <w:r>
        <w:br w:type="page"/>
      </w:r>
      <w:r>
        <w:t xml:space="preserve">12. Publicación, embed y export</w:t>
      </w:r>
    </w:p>
    <w:p>
      <w:pPr>
        <w:pStyle w:val="CaptionedFigure"/>
        <w:spacing w:before="80" w:after="120"/>
        <w:jc w:val="center"/>
      </w:pPr>
      <w:r>
        <w:drawing>
          <wp:inline>
            <wp:extent cx="6047232" cy="2904681"/>
            <wp:effectExtent b="0" l="0" r="0" t="0"/>
            <wp:docPr descr="Pipeline de publicación" title="" id="90" name="Picture"/>
            <a:graphic>
              <a:graphicData uri="http://schemas.openxmlformats.org/drawingml/2006/picture">
                <pic:pic>
                  <pic:nvPicPr>
                    <pic:cNvPr descr="assets/publish_flow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232" cy="2904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Pipeline de publicación</w:t>
      </w:r>
    </w:p>
    <w:bookmarkStart w:id="92" w:name="publish-compiler"/>
    <w:p>
      <w:pPr>
        <w:pStyle w:val="Heading2"/>
        <w:keepNext/>
        <w:widowControl/>
      </w:pPr>
      <w:r>
        <w:t xml:space="preserve">12.1 Publish compiler</w:t>
      </w:r>
    </w:p>
    <w:p>
      <w:pPr>
        <w:pStyle w:val="FirstParagraph"/>
      </w:pPr>
      <w:r>
        <w:t xml:space="preserve">El compilador recibe una versión inmutable de proyecto y produce:</w:t>
      </w:r>
    </w:p>
    <w:p>
      <w:pPr>
        <w:pStyle w:val="Compact"/>
        <w:numPr>
          <w:ilvl w:val="0"/>
          <w:numId w:val="1029"/>
        </w:numPr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mínimo;</w:t>
      </w:r>
    </w:p>
    <w:p>
      <w:pPr>
        <w:pStyle w:val="Compact"/>
        <w:numPr>
          <w:ilvl w:val="0"/>
          <w:numId w:val="1029"/>
        </w:numPr>
      </w:pPr>
      <w:r>
        <w:t xml:space="preserve">runtime versionado;</w:t>
      </w:r>
    </w:p>
    <w:p>
      <w:pPr>
        <w:pStyle w:val="Compact"/>
        <w:numPr>
          <w:ilvl w:val="0"/>
          <w:numId w:val="1029"/>
        </w:numPr>
      </w:pPr>
      <w:r>
        <w:t xml:space="preserve">config serializada y validada;</w:t>
      </w:r>
    </w:p>
    <w:p>
      <w:pPr>
        <w:pStyle w:val="Compact"/>
        <w:numPr>
          <w:ilvl w:val="0"/>
          <w:numId w:val="1029"/>
        </w:numPr>
      </w:pPr>
      <w:r>
        <w:t xml:space="preserve">referencias a assets publicables;</w:t>
      </w:r>
    </w:p>
    <w:p>
      <w:pPr>
        <w:pStyle w:val="Compact"/>
        <w:numPr>
          <w:ilvl w:val="0"/>
          <w:numId w:val="1029"/>
        </w:numPr>
      </w:pPr>
      <w:r>
        <w:t xml:space="preserve">CSP;</w:t>
      </w:r>
    </w:p>
    <w:p>
      <w:pPr>
        <w:pStyle w:val="Compact"/>
        <w:numPr>
          <w:ilvl w:val="0"/>
          <w:numId w:val="1029"/>
        </w:numPr>
      </w:pPr>
      <w:r>
        <w:t xml:space="preserve">metadata social opcional;</w:t>
      </w:r>
    </w:p>
    <w:p>
      <w:pPr>
        <w:pStyle w:val="Compact"/>
        <w:numPr>
          <w:ilvl w:val="0"/>
          <w:numId w:val="1029"/>
        </w:numPr>
      </w:pPr>
      <w:r>
        <w:t xml:space="preserve">fallback móvil/reduced motion;</w:t>
      </w:r>
    </w:p>
    <w:p>
      <w:pPr>
        <w:pStyle w:val="Compact"/>
        <w:numPr>
          <w:ilvl w:val="0"/>
          <w:numId w:val="1029"/>
        </w:numPr>
      </w:pPr>
      <w:r>
        <w:t xml:space="preserve">manifest de artifacts con hashes.</w:t>
      </w:r>
    </w:p>
    <w:p>
      <w:pPr>
        <w:pStyle w:val="FirstParagraph"/>
      </w:pPr>
      <w:r>
        <w:t xml:space="preserve">No incluir paneles, librería completa, secrets, endpoints internos o rutas de edición.</w:t>
      </w:r>
    </w:p>
    <w:bookmarkEnd w:id="92"/>
    <w:bookmarkStart w:id="93" w:name="stable-url"/>
    <w:p>
      <w:pPr>
        <w:pStyle w:val="Heading2"/>
        <w:keepNext/>
        <w:widowControl/>
      </w:pPr>
      <w:r>
        <w:t xml:space="preserve">12.2 Stable URL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publishId</w:t>
      </w:r>
      <w:r>
        <w:t xml:space="preserve"> </w:t>
      </w:r>
      <w:r>
        <w:t xml:space="preserve">opaco.</w:t>
      </w:r>
    </w:p>
    <w:p>
      <w:pPr>
        <w:pStyle w:val="Compact"/>
        <w:numPr>
          <w:ilvl w:val="0"/>
          <w:numId w:val="1030"/>
        </w:numPr>
      </w:pPr>
      <w:r>
        <w:t xml:space="preserve">alias estable a</w:t>
      </w:r>
      <w:r>
        <w:t xml:space="preserve"> </w:t>
      </w:r>
      <w:r>
        <w:rPr>
          <w:rStyle w:val="VerbatimChar"/>
        </w:rPr>
        <w:t xml:space="preserve">currentReleaseId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releases inmutables.</w:t>
      </w:r>
    </w:p>
    <w:p>
      <w:pPr>
        <w:pStyle w:val="Compact"/>
        <w:numPr>
          <w:ilvl w:val="0"/>
          <w:numId w:val="1030"/>
        </w:numPr>
      </w:pPr>
      <w:r>
        <w:t xml:space="preserve">rollback instantáneo cambiando puntero.</w:t>
      </w:r>
    </w:p>
    <w:p>
      <w:pPr>
        <w:pStyle w:val="Compact"/>
        <w:numPr>
          <w:ilvl w:val="0"/>
          <w:numId w:val="1030"/>
        </w:numPr>
      </w:pPr>
      <w:r>
        <w:t xml:space="preserve">revocación y expiración.</w:t>
      </w:r>
    </w:p>
    <w:p>
      <w:pPr>
        <w:pStyle w:val="Compact"/>
        <w:numPr>
          <w:ilvl w:val="0"/>
          <w:numId w:val="1030"/>
        </w:numPr>
      </w:pPr>
      <w:r>
        <w:t xml:space="preserve">dominio custom como feature futura.</w:t>
      </w:r>
    </w:p>
    <w:bookmarkEnd w:id="93"/>
    <w:bookmarkStart w:id="94" w:name="embed"/>
    <w:p>
      <w:pPr>
        <w:pStyle w:val="Heading2"/>
        <w:keepNext/>
        <w:widowControl/>
      </w:pPr>
      <w:r>
        <w:t xml:space="preserve">12.3 Embed</w:t>
      </w:r>
    </w:p>
    <w:p>
      <w:pPr>
        <w:pStyle w:val="FirstParagraph"/>
      </w:pPr>
      <w:r>
        <w:t xml:space="preserve">Primero iframe: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sandbox</w:t>
      </w:r>
      <w:r>
        <w:t xml:space="preserve"> </w:t>
      </w:r>
      <w:r>
        <w:t xml:space="preserve">mínimo necesario;</w:t>
      </w:r>
    </w:p>
    <w:p>
      <w:pPr>
        <w:pStyle w:val="Compact"/>
        <w:numPr>
          <w:ilvl w:val="0"/>
          <w:numId w:val="1031"/>
        </w:numPr>
      </w:pPr>
      <w:r>
        <w:t xml:space="preserve">CSP estricta;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allowedOrigins</w:t>
      </w:r>
      <w:r>
        <w:t xml:space="preserve"> </w:t>
      </w:r>
      <w:r>
        <w:t xml:space="preserve">opcional;</w:t>
      </w:r>
    </w:p>
    <w:p>
      <w:pPr>
        <w:pStyle w:val="Compact"/>
        <w:numPr>
          <w:ilvl w:val="0"/>
          <w:numId w:val="1031"/>
        </w:numPr>
      </w:pPr>
      <w:r>
        <w:t xml:space="preserve">protocolo</w:t>
      </w:r>
      <w:r>
        <w:t xml:space="preserve"> </w:t>
      </w:r>
      <w:r>
        <w:rPr>
          <w:rStyle w:val="VerbatimChar"/>
        </w:rPr>
        <w:t xml:space="preserve">postMessage</w:t>
      </w:r>
      <w:r>
        <w:t xml:space="preserve"> </w:t>
      </w:r>
      <w:r>
        <w:t xml:space="preserve">versionado;</w:t>
      </w:r>
    </w:p>
    <w:p>
      <w:pPr>
        <w:pStyle w:val="Compact"/>
        <w:numPr>
          <w:ilvl w:val="0"/>
          <w:numId w:val="1031"/>
        </w:numPr>
      </w:pPr>
      <w:r>
        <w:t xml:space="preserve">resize seguro;</w:t>
      </w:r>
    </w:p>
    <w:p>
      <w:pPr>
        <w:pStyle w:val="Compact"/>
        <w:numPr>
          <w:ilvl w:val="0"/>
          <w:numId w:val="1031"/>
        </w:numPr>
      </w:pPr>
      <w:r>
        <w:t xml:space="preserve">eventos de ready, CTA y error;</w:t>
      </w:r>
    </w:p>
    <w:p>
      <w:pPr>
        <w:pStyle w:val="Compact"/>
        <w:numPr>
          <w:ilvl w:val="0"/>
          <w:numId w:val="1031"/>
        </w:numPr>
      </w:pPr>
      <w:r>
        <w:t xml:space="preserve">sin acceso al editor.</w:t>
      </w:r>
    </w:p>
    <w:p>
      <w:pPr>
        <w:pStyle w:val="FirstParagraph"/>
      </w:pPr>
      <w:r>
        <w:t xml:space="preserve">Script embed futuro: loader pequeño que crea el iframe. No exportar todo el runtime como script global sin aislamiento.</w:t>
      </w:r>
    </w:p>
    <w:bookmarkEnd w:id="94"/>
    <w:bookmarkStart w:id="95" w:name="export"/>
    <w:p>
      <w:pPr>
        <w:pStyle w:val="Heading2"/>
        <w:keepNext/>
        <w:widowControl/>
      </w:pPr>
      <w:r>
        <w:t xml:space="preserve">12.4 Export</w:t>
      </w:r>
    </w:p>
    <w:p>
      <w:pPr>
        <w:pStyle w:val="FirstParagraph"/>
      </w:pPr>
      <w:r>
        <w:t xml:space="preserve">Mantener export local para previews y formatos ligeros. Registrar cada export en backend incluso si se ejecuta localmente. Mover a worker sólo:</w:t>
      </w:r>
    </w:p>
    <w:p>
      <w:pPr>
        <w:pStyle w:val="Compact"/>
        <w:numPr>
          <w:ilvl w:val="0"/>
          <w:numId w:val="1032"/>
        </w:numPr>
      </w:pPr>
      <w:r>
        <w:t xml:space="preserve">MP4/2K/4K;</w:t>
      </w:r>
    </w:p>
    <w:p>
      <w:pPr>
        <w:pStyle w:val="Compact"/>
        <w:numPr>
          <w:ilvl w:val="0"/>
          <w:numId w:val="1032"/>
        </w:numPr>
      </w:pPr>
      <w:r>
        <w:t xml:space="preserve">secuencias largas;</w:t>
      </w:r>
    </w:p>
    <w:p>
      <w:pPr>
        <w:pStyle w:val="Compact"/>
        <w:numPr>
          <w:ilvl w:val="0"/>
          <w:numId w:val="1032"/>
        </w:numPr>
      </w:pPr>
      <w:r>
        <w:t xml:space="preserve">tareas que superen umbral de tiempo/memoria;</w:t>
      </w:r>
    </w:p>
    <w:p>
      <w:pPr>
        <w:pStyle w:val="Compact"/>
        <w:numPr>
          <w:ilvl w:val="0"/>
          <w:numId w:val="1032"/>
        </w:numPr>
      </w:pPr>
      <w:r>
        <w:t xml:space="preserve">jobs que requieran reproducibilidad y garantía.</w:t>
      </w:r>
    </w:p>
    <w:p>
      <w:pPr>
        <w:pStyle w:val="FirstParagraph"/>
      </w:pPr>
      <w:r>
        <w:t xml:space="preserve">Estados:</w:t>
      </w:r>
    </w:p>
    <w:p>
      <w:pPr>
        <w:pStyle w:val="SourceCode"/>
        <w:spacing w:before="80" w:after="120"/>
        <w:shd w:fill="F1F5F9"/>
      </w:pPr>
      <w:r>
        <w:rPr>
          <w:rStyle w:val="VerbatimChar"/>
          <w:rFonts w:ascii="Cascadia Mono" w:hAnsi="Cascadia Mono"/>
          <w:color w:val="0F172A"/>
          <w:sz w:val="15"/>
        </w:rPr>
        <w:t xml:space="preserve">requested → validating → reserved → queued → running → succeeded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                                             ↘ failed / cancelled / expired</w:t>
      </w:r>
    </w:p>
    <w:bookmarkEnd w:id="95"/>
    <w:bookmarkEnd w:id="96"/>
    <w:bookmarkStart w:id="105" w:name="billing-entitlements-y-créditos"/>
    <w:p>
      <w:pPr>
        <w:pStyle w:val="Heading1"/>
        <w:keepNext/>
        <w:widowControl/>
        <w:pageBreakBefore/>
      </w:pPr>
      <w:r>
        <w:br w:type="page"/>
      </w:r>
      <w:r>
        <w:t xml:space="preserve">13. Billing, entitlements y créditos</w:t>
      </w:r>
    </w:p>
    <w:p>
      <w:pPr>
        <w:pStyle w:val="CaptionedFigure"/>
        <w:spacing w:before="80" w:after="120"/>
        <w:jc w:val="center"/>
      </w:pPr>
      <w:r>
        <w:drawing>
          <wp:inline>
            <wp:extent cx="6047232" cy="2723610"/>
            <wp:effectExtent b="0" l="0" r="0" t="0"/>
            <wp:docPr descr="Billing y entitlements" title="" id="98" name="Picture"/>
            <a:graphic>
              <a:graphicData uri="http://schemas.openxmlformats.org/drawingml/2006/picture">
                <pic:pic>
                  <pic:nvPicPr>
                    <pic:cNvPr descr="assets/billing_flow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232" cy="2723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Billing y entitlements</w:t>
      </w:r>
    </w:p>
    <w:bookmarkStart w:id="100" w:name="principio"/>
    <w:p>
      <w:pPr>
        <w:pStyle w:val="Heading2"/>
        <w:keepNext/>
        <w:widowControl/>
      </w:pPr>
      <w:r>
        <w:t xml:space="preserve">13.1 Principio</w:t>
      </w:r>
    </w:p>
    <w:p>
      <w:pPr>
        <w:pStyle w:val="FirstParagraph"/>
      </w:pPr>
      <w:r>
        <w:t xml:space="preserve">Stripe informa pagos; PostgreSQL proyecta el acceso. La autoridad de una request es el snapshot interno actualizado por eventos verificados.</w:t>
      </w:r>
    </w:p>
    <w:p>
      <w:pPr>
        <w:pStyle w:val="BodyText"/>
      </w:pPr>
      <w:r>
        <w:t xml:space="preserve">Stripe documenta que las suscripciones cambian de forma asíncrona, deben gestionarse con webhooks verificados y que eventos como</w:t>
      </w:r>
      <w:r>
        <w:t xml:space="preserve"> </w:t>
      </w:r>
      <w:r>
        <w:rPr>
          <w:rStyle w:val="VerbatimChar"/>
        </w:rPr>
        <w:t xml:space="preserve">invoice.paid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invoice.payment_failed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customer.subscription.updated/deleted</w:t>
      </w:r>
      <w:r>
        <w:t xml:space="preserve"> </w:t>
      </w:r>
      <w:r>
        <w:t xml:space="preserve">determinan provisión o revocación [O1].</w:t>
      </w:r>
    </w:p>
    <w:bookmarkEnd w:id="100"/>
    <w:bookmarkStart w:id="101" w:name="tablas-mínimas"/>
    <w:p>
      <w:pPr>
        <w:pStyle w:val="Heading2"/>
        <w:keepNext/>
        <w:widowControl/>
      </w:pPr>
      <w:r>
        <w:t xml:space="preserve">13.2 Tablas mínimas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billing_customers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subscriptions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subscription_items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webhook_events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plan_versions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features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plan_entitlements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entitlement_snapshots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credit_accounts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credit_transactions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credit_reservations</w:t>
      </w:r>
      <w:r>
        <w:t xml:space="preserve">;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billing_reconciliation_runs</w:t>
      </w:r>
      <w:r>
        <w:t xml:space="preserve">.</w:t>
      </w:r>
    </w:p>
    <w:bookmarkEnd w:id="101"/>
    <w:bookmarkStart w:id="102" w:name="webhook-processing"/>
    <w:p>
      <w:pPr>
        <w:pStyle w:val="Heading2"/>
        <w:keepNext/>
        <w:widowControl/>
      </w:pPr>
      <w:r>
        <w:t xml:space="preserve">13.3 Webhook processing</w:t>
      </w:r>
    </w:p>
    <w:p>
      <w:pPr>
        <w:pStyle w:val="Compact"/>
        <w:numPr>
          <w:ilvl w:val="0"/>
          <w:numId w:val="1034"/>
        </w:numPr>
      </w:pPr>
      <w:r>
        <w:t xml:space="preserve">leer raw body;</w:t>
      </w:r>
    </w:p>
    <w:p>
      <w:pPr>
        <w:pStyle w:val="Compact"/>
        <w:numPr>
          <w:ilvl w:val="0"/>
          <w:numId w:val="1034"/>
        </w:numPr>
      </w:pPr>
      <w:r>
        <w:t xml:space="preserve">verificar firma y timestamp;</w:t>
      </w:r>
    </w:p>
    <w:p>
      <w:pPr>
        <w:pStyle w:val="Compact"/>
        <w:numPr>
          <w:ilvl w:val="0"/>
          <w:numId w:val="1034"/>
        </w:numPr>
      </w:pPr>
      <w:r>
        <w:t xml:space="preserve">insertar</w:t>
      </w:r>
      <w:r>
        <w:t xml:space="preserve"> </w:t>
      </w:r>
      <w:r>
        <w:rPr>
          <w:rStyle w:val="VerbatimChar"/>
        </w:rPr>
        <w:t xml:space="preserve">webhook_events</w:t>
      </w:r>
      <w:r>
        <w:t xml:space="preserve"> </w:t>
      </w:r>
      <w:r>
        <w:t xml:space="preserve">con unique provider event ID;</w:t>
      </w:r>
    </w:p>
    <w:p>
      <w:pPr>
        <w:pStyle w:val="Compact"/>
        <w:numPr>
          <w:ilvl w:val="0"/>
          <w:numId w:val="1034"/>
        </w:numPr>
      </w:pPr>
      <w:r>
        <w:t xml:space="preserve">responder rápido tras persistencia o procesar transaccionalmente;</w:t>
      </w:r>
    </w:p>
    <w:p>
      <w:pPr>
        <w:pStyle w:val="Compact"/>
        <w:numPr>
          <w:ilvl w:val="0"/>
          <w:numId w:val="1034"/>
        </w:numPr>
      </w:pPr>
      <w:r>
        <w:t xml:space="preserve">handler idempotente;</w:t>
      </w:r>
    </w:p>
    <w:p>
      <w:pPr>
        <w:pStyle w:val="Compact"/>
        <w:numPr>
          <w:ilvl w:val="0"/>
          <w:numId w:val="1034"/>
        </w:numPr>
      </w:pPr>
      <w:r>
        <w:t xml:space="preserve">actualizar projection;</w:t>
      </w:r>
    </w:p>
    <w:p>
      <w:pPr>
        <w:pStyle w:val="Compact"/>
        <w:numPr>
          <w:ilvl w:val="0"/>
          <w:numId w:val="1034"/>
        </w:numPr>
      </w:pPr>
      <w:r>
        <w:t xml:space="preserve">emitir outbox event;</w:t>
      </w:r>
    </w:p>
    <w:p>
      <w:pPr>
        <w:pStyle w:val="Compact"/>
        <w:numPr>
          <w:ilvl w:val="0"/>
          <w:numId w:val="1034"/>
        </w:numPr>
      </w:pPr>
      <w:r>
        <w:t xml:space="preserve">recomputar entitlements;</w:t>
      </w:r>
    </w:p>
    <w:p>
      <w:pPr>
        <w:pStyle w:val="Compact"/>
        <w:numPr>
          <w:ilvl w:val="0"/>
          <w:numId w:val="1034"/>
        </w:numPr>
      </w:pPr>
      <w:r>
        <w:t xml:space="preserve">registrar resultado/error;</w:t>
      </w:r>
    </w:p>
    <w:p>
      <w:pPr>
        <w:pStyle w:val="Compact"/>
        <w:numPr>
          <w:ilvl w:val="0"/>
          <w:numId w:val="1034"/>
        </w:numPr>
      </w:pPr>
      <w:r>
        <w:t xml:space="preserve">retry con backoff y dead-letter operativo.</w:t>
      </w:r>
    </w:p>
    <w:bookmarkEnd w:id="102"/>
    <w:bookmarkStart w:id="103" w:name="estados-internos"/>
    <w:p>
      <w:pPr>
        <w:pStyle w:val="Heading2"/>
        <w:keepNext/>
        <w:widowControl/>
      </w:pPr>
      <w:r>
        <w:t xml:space="preserve">13.4 Estados internos</w:t>
      </w:r>
    </w:p>
    <w:p>
      <w:pPr>
        <w:pStyle w:val="FirstParagraph"/>
      </w:pPr>
      <w:r>
        <w:t xml:space="preserve">Mapear Stripe a estados de producto explícitos: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free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trialing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active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grace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past_due_limited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paused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canceled_until_period_end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canceled</w:t>
      </w:r>
      <w:r>
        <w:t xml:space="preserve">;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blocked</w:t>
      </w:r>
      <w:r>
        <w:t xml:space="preserve">.</w:t>
      </w:r>
    </w:p>
    <w:p>
      <w:pPr>
        <w:pStyle w:val="FirstParagraph"/>
      </w:pPr>
      <w:r>
        <w:t xml:space="preserve">La política de gracia debe ser producto, no un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improvisado.</w:t>
      </w:r>
    </w:p>
    <w:bookmarkEnd w:id="103"/>
    <w:bookmarkStart w:id="104" w:name="reconciliación"/>
    <w:p>
      <w:pPr>
        <w:pStyle w:val="Heading2"/>
        <w:keepNext/>
        <w:widowControl/>
      </w:pPr>
      <w:r>
        <w:t xml:space="preserve">13.5 Reconciliación</w:t>
      </w:r>
    </w:p>
    <w:p>
      <w:pPr>
        <w:pStyle w:val="FirstParagraph"/>
      </w:pPr>
      <w:r>
        <w:t xml:space="preserve">Job diario:</w:t>
      </w:r>
    </w:p>
    <w:p>
      <w:pPr>
        <w:pStyle w:val="Compact"/>
        <w:numPr>
          <w:ilvl w:val="0"/>
          <w:numId w:val="1036"/>
        </w:numPr>
      </w:pPr>
      <w:r>
        <w:t xml:space="preserve">compara customers/subscriptions/precios;</w:t>
      </w:r>
    </w:p>
    <w:p>
      <w:pPr>
        <w:pStyle w:val="Compact"/>
        <w:numPr>
          <w:ilvl w:val="0"/>
          <w:numId w:val="1036"/>
        </w:numPr>
      </w:pPr>
      <w:r>
        <w:t xml:space="preserve">detecta webhooks perdidos;</w:t>
      </w:r>
    </w:p>
    <w:p>
      <w:pPr>
        <w:pStyle w:val="Compact"/>
        <w:numPr>
          <w:ilvl w:val="0"/>
          <w:numId w:val="1036"/>
        </w:numPr>
      </w:pPr>
      <w:r>
        <w:t xml:space="preserve">repara projections;</w:t>
      </w:r>
    </w:p>
    <w:p>
      <w:pPr>
        <w:pStyle w:val="Compact"/>
        <w:numPr>
          <w:ilvl w:val="0"/>
          <w:numId w:val="1036"/>
        </w:numPr>
      </w:pPr>
      <w:r>
        <w:t xml:space="preserve">alerta discrepancias;</w:t>
      </w:r>
    </w:p>
    <w:p>
      <w:pPr>
        <w:pStyle w:val="Compact"/>
        <w:numPr>
          <w:ilvl w:val="0"/>
          <w:numId w:val="1036"/>
        </w:numPr>
      </w:pPr>
      <w:r>
        <w:t xml:space="preserve">no revoca automáticamente casos ambiguos sin política.</w:t>
      </w:r>
    </w:p>
    <w:bookmarkEnd w:id="104"/>
    <w:bookmarkEnd w:id="105"/>
    <w:bookmarkStart w:id="110" w:name="ai-campaign-builder"/>
    <w:p>
      <w:pPr>
        <w:pStyle w:val="Heading1"/>
        <w:keepNext/>
        <w:widowControl/>
        <w:pageBreakBefore/>
      </w:pPr>
      <w:r>
        <w:br w:type="page"/>
      </w:r>
      <w:r>
        <w:t xml:space="preserve">14. AI Campaign Builder</w:t>
      </w:r>
    </w:p>
    <w:bookmarkStart w:id="106" w:name="diferenciador-correcto"/>
    <w:p>
      <w:pPr>
        <w:pStyle w:val="Heading2"/>
        <w:keepNext/>
        <w:widowControl/>
      </w:pPr>
      <w:r>
        <w:t xml:space="preserve">14.1 Diferenciador correcto</w:t>
      </w:r>
    </w:p>
    <w:p>
      <w:pPr>
        <w:pStyle w:val="FirstParagraph"/>
      </w:pPr>
      <w:r>
        <w:t xml:space="preserve">No chatbot genérico. Debe actuar como director creativo estructurado:</w:t>
      </w:r>
    </w:p>
    <w:p>
      <w:pPr>
        <w:pStyle w:val="Compact"/>
        <w:numPr>
          <w:ilvl w:val="0"/>
          <w:numId w:val="1037"/>
        </w:numPr>
      </w:pPr>
      <w:r>
        <w:t xml:space="preserve">recibe brief y assets;</w:t>
      </w:r>
    </w:p>
    <w:p>
      <w:pPr>
        <w:pStyle w:val="Compact"/>
        <w:numPr>
          <w:ilvl w:val="0"/>
          <w:numId w:val="1037"/>
        </w:numPr>
      </w:pPr>
      <w:r>
        <w:t xml:space="preserve">clasifica objetivo/canal;</w:t>
      </w:r>
    </w:p>
    <w:p>
      <w:pPr>
        <w:pStyle w:val="Compact"/>
        <w:numPr>
          <w:ilvl w:val="0"/>
          <w:numId w:val="1037"/>
        </w:numPr>
      </w:pPr>
      <w:r>
        <w:t xml:space="preserve">recomienda módulos compatibles;</w:t>
      </w:r>
    </w:p>
    <w:p>
      <w:pPr>
        <w:pStyle w:val="Compact"/>
        <w:numPr>
          <w:ilvl w:val="0"/>
          <w:numId w:val="1037"/>
        </w:numPr>
      </w:pPr>
      <w:r>
        <w:t xml:space="preserve">genera copy y dirección visual;</w:t>
      </w:r>
    </w:p>
    <w:p>
      <w:pPr>
        <w:pStyle w:val="Compact"/>
        <w:numPr>
          <w:ilvl w:val="0"/>
          <w:numId w:val="1037"/>
        </w:numPr>
      </w:pPr>
      <w:r>
        <w:t xml:space="preserve">crea tres CampaignPlans;</w:t>
      </w:r>
    </w:p>
    <w:p>
      <w:pPr>
        <w:pStyle w:val="Compact"/>
        <w:numPr>
          <w:ilvl w:val="0"/>
          <w:numId w:val="1037"/>
        </w:numPr>
      </w:pPr>
      <w:r>
        <w:t xml:space="preserve">estima créditos;</w:t>
      </w:r>
    </w:p>
    <w:p>
      <w:pPr>
        <w:pStyle w:val="Compact"/>
        <w:numPr>
          <w:ilvl w:val="0"/>
          <w:numId w:val="1037"/>
        </w:numPr>
      </w:pPr>
      <w:r>
        <w:t xml:space="preserve">compila variantes editables;</w:t>
      </w:r>
    </w:p>
    <w:p>
      <w:pPr>
        <w:pStyle w:val="Compact"/>
        <w:numPr>
          <w:ilvl w:val="0"/>
          <w:numId w:val="1037"/>
        </w:numPr>
      </w:pPr>
      <w:r>
        <w:t xml:space="preserve">el usuario aprueba.</w:t>
      </w:r>
    </w:p>
    <w:bookmarkEnd w:id="106"/>
    <w:bookmarkStart w:id="107" w:name="arquitectura"/>
    <w:p>
      <w:pPr>
        <w:pStyle w:val="Heading2"/>
        <w:keepNext/>
        <w:widowControl/>
      </w:pPr>
      <w:r>
        <w:t xml:space="preserve">14.2 Arquitectura</w:t>
      </w:r>
    </w:p>
    <w:p>
      <w:pPr>
        <w:pStyle w:val="Compact"/>
        <w:numPr>
          <w:ilvl w:val="0"/>
          <w:numId w:val="1038"/>
        </w:numPr>
      </w:pPr>
      <w:r>
        <w:t xml:space="preserve">provider abstraction;</w:t>
      </w:r>
    </w:p>
    <w:p>
      <w:pPr>
        <w:pStyle w:val="Compact"/>
        <w:numPr>
          <w:ilvl w:val="0"/>
          <w:numId w:val="1038"/>
        </w:numPr>
      </w:pPr>
      <w:r>
        <w:t xml:space="preserve">prompt registry versionado;</w:t>
      </w:r>
    </w:p>
    <w:p>
      <w:pPr>
        <w:pStyle w:val="Compact"/>
        <w:numPr>
          <w:ilvl w:val="0"/>
          <w:numId w:val="1038"/>
        </w:numPr>
      </w:pPr>
      <w:r>
        <w:t xml:space="preserve">structured output con schema;</w:t>
      </w:r>
    </w:p>
    <w:p>
      <w:pPr>
        <w:pStyle w:val="Compact"/>
        <w:numPr>
          <w:ilvl w:val="0"/>
          <w:numId w:val="1038"/>
        </w:numPr>
      </w:pPr>
      <w:r>
        <w:t xml:space="preserve">policy layer;</w:t>
      </w:r>
    </w:p>
    <w:p>
      <w:pPr>
        <w:pStyle w:val="Compact"/>
        <w:numPr>
          <w:ilvl w:val="0"/>
          <w:numId w:val="1038"/>
        </w:numPr>
      </w:pPr>
      <w:r>
        <w:t xml:space="preserve">cost budget y timeout;</w:t>
      </w:r>
    </w:p>
    <w:p>
      <w:pPr>
        <w:pStyle w:val="Compact"/>
        <w:numPr>
          <w:ilvl w:val="0"/>
          <w:numId w:val="1038"/>
        </w:numPr>
      </w:pPr>
      <w:r>
        <w:t xml:space="preserve">redacción de PII/secrets;</w:t>
      </w:r>
    </w:p>
    <w:p>
      <w:pPr>
        <w:pStyle w:val="Compact"/>
        <w:numPr>
          <w:ilvl w:val="0"/>
          <w:numId w:val="1038"/>
        </w:numPr>
      </w:pPr>
      <w:r>
        <w:t xml:space="preserve">no entrenamiento con datos de cliente por defecto;</w:t>
      </w:r>
    </w:p>
    <w:p>
      <w:pPr>
        <w:pStyle w:val="Compact"/>
        <w:numPr>
          <w:ilvl w:val="0"/>
          <w:numId w:val="1038"/>
        </w:numPr>
      </w:pPr>
      <w:r>
        <w:t xml:space="preserve">retention configurable;</w:t>
      </w:r>
    </w:p>
    <w:p>
      <w:pPr>
        <w:pStyle w:val="Compact"/>
        <w:numPr>
          <w:ilvl w:val="0"/>
          <w:numId w:val="1038"/>
        </w:numPr>
      </w:pPr>
      <w:r>
        <w:t xml:space="preserve">model/prompt/input hash y provenance;</w:t>
      </w:r>
    </w:p>
    <w:p>
      <w:pPr>
        <w:pStyle w:val="Compact"/>
        <w:numPr>
          <w:ilvl w:val="0"/>
          <w:numId w:val="1038"/>
        </w:numPr>
      </w:pPr>
      <w:r>
        <w:t xml:space="preserve">evaluation dataset;</w:t>
      </w:r>
    </w:p>
    <w:p>
      <w:pPr>
        <w:pStyle w:val="Compact"/>
        <w:numPr>
          <w:ilvl w:val="0"/>
          <w:numId w:val="1038"/>
        </w:numPr>
      </w:pPr>
      <w:r>
        <w:t xml:space="preserve">fallback determinista sin IA.</w:t>
      </w:r>
    </w:p>
    <w:bookmarkEnd w:id="107"/>
    <w:bookmarkStart w:id="108" w:name="no-go"/>
    <w:p>
      <w:pPr>
        <w:pStyle w:val="Heading2"/>
        <w:keepNext/>
        <w:widowControl/>
      </w:pPr>
      <w:r>
        <w:t xml:space="preserve">14.3 No-go</w:t>
      </w:r>
    </w:p>
    <w:p>
      <w:pPr>
        <w:pStyle w:val="Compact"/>
        <w:numPr>
          <w:ilvl w:val="0"/>
          <w:numId w:val="1039"/>
        </w:numPr>
      </w:pPr>
      <w:r>
        <w:t xml:space="preserve">El modelo no escribe HTML/JS ejecutable en producción.</w:t>
      </w:r>
    </w:p>
    <w:p>
      <w:pPr>
        <w:pStyle w:val="Compact"/>
        <w:numPr>
          <w:ilvl w:val="0"/>
          <w:numId w:val="1039"/>
        </w:numPr>
      </w:pPr>
      <w:r>
        <w:t xml:space="preserve">No navega URLs de usuario desde la red interna sin sandbox y allowlist.</w:t>
      </w:r>
    </w:p>
    <w:p>
      <w:pPr>
        <w:pStyle w:val="Compact"/>
        <w:numPr>
          <w:ilvl w:val="0"/>
          <w:numId w:val="1039"/>
        </w:numPr>
      </w:pPr>
      <w:r>
        <w:t xml:space="preserve">No publica ni cobra sin confirmación.</w:t>
      </w:r>
    </w:p>
    <w:p>
      <w:pPr>
        <w:pStyle w:val="Compact"/>
        <w:numPr>
          <w:ilvl w:val="0"/>
          <w:numId w:val="1039"/>
        </w:numPr>
      </w:pPr>
      <w:r>
        <w:t xml:space="preserve">No usa assets del cliente para entrenar sin opt-in contractual.</w:t>
      </w:r>
    </w:p>
    <w:p>
      <w:pPr>
        <w:pStyle w:val="Compact"/>
        <w:numPr>
          <w:ilvl w:val="0"/>
          <w:numId w:val="1039"/>
        </w:numPr>
      </w:pPr>
      <w:r>
        <w:t xml:space="preserve">No promete copyright sobre outputs más allá de contratos de proveedor y ley aplicable.</w:t>
      </w:r>
    </w:p>
    <w:bookmarkEnd w:id="108"/>
    <w:bookmarkStart w:id="109" w:name="ai-act-y-transparencia"/>
    <w:p>
      <w:pPr>
        <w:pStyle w:val="Heading2"/>
        <w:keepNext/>
        <w:widowControl/>
      </w:pPr>
      <w:r>
        <w:t xml:space="preserve">14.4 AI Act y transparencia</w:t>
      </w:r>
    </w:p>
    <w:p>
      <w:pPr>
        <w:pStyle w:val="FirstParagraph"/>
      </w:pPr>
      <w:r>
        <w:t xml:space="preserve">El AI Director creativo no parece, por su caso de uso previsto, un sistema high-risk típico; esta clasificación debe validarse jurídicamente y revisarse si se amplía a decisiones sobre personas. Mantener inventario de modelos, finalidad, datos, proveedores, transparencia, human oversight y logs. El Reglamento (UE) 2024/1689 aplica obligaciones por fases y debe tratarse como requisito vivo [O6].</w:t>
      </w:r>
    </w:p>
    <w:bookmarkEnd w:id="109"/>
    <w:bookmarkEnd w:id="110"/>
    <w:bookmarkStart w:id="116" w:name="legal-compliance-y-trust-readiness"/>
    <w:p>
      <w:pPr>
        <w:pStyle w:val="Heading1"/>
        <w:keepNext/>
        <w:widowControl/>
        <w:pageBreakBefore/>
      </w:pPr>
      <w:r>
        <w:br w:type="page"/>
      </w:r>
      <w:r>
        <w:t xml:space="preserve">15. Legal, compliance y trust readiness</w:t>
      </w:r>
    </w:p>
    <w:p>
      <w:pPr>
        <w:pStyle w:val="BlockText"/>
        <w:pBdr>
          <w:left w:val="single" w:sz="18" w:space="8" w:color="2563EB"/>
        </w:pBdr>
        <w:shd w:fill="EFF6FF"/>
      </w:pPr>
      <w:r>
        <w:t xml:space="preserve">Esta sección es una especificación de producto y datos, no asesoramiento jurídico. Los textos iniciales pueden redactarse por comparación estructural, pero no copiarse literalmente de competidores y deben validarse por un abogado antes del lanzamiento público.</w:t>
      </w:r>
    </w:p>
    <w:bookmarkStart w:id="111" w:name="legal-trust-center-mínimo"/>
    <w:p>
      <w:pPr>
        <w:pStyle w:val="Heading2"/>
        <w:keepNext/>
        <w:widowControl/>
      </w:pPr>
      <w:r>
        <w:t xml:space="preserve">15.1 Legal &amp; Trust Center mínimo</w:t>
      </w:r>
    </w:p>
    <w:p>
      <w:pPr>
        <w:pStyle w:val="Compact"/>
        <w:numPr>
          <w:ilvl w:val="0"/>
          <w:numId w:val="1040"/>
        </w:numPr>
      </w:pPr>
      <w:r>
        <w:t xml:space="preserve">Aviso legal / identificación del prestador.</w:t>
      </w:r>
    </w:p>
    <w:p>
      <w:pPr>
        <w:pStyle w:val="Compact"/>
        <w:numPr>
          <w:ilvl w:val="0"/>
          <w:numId w:val="1040"/>
        </w:numPr>
      </w:pPr>
      <w:r>
        <w:t xml:space="preserve">Términos de servicio SaaS.</w:t>
      </w:r>
    </w:p>
    <w:p>
      <w:pPr>
        <w:pStyle w:val="Compact"/>
        <w:numPr>
          <w:ilvl w:val="0"/>
          <w:numId w:val="1040"/>
        </w:numPr>
      </w:pPr>
      <w:r>
        <w:t xml:space="preserve">Política de privacidad.</w:t>
      </w:r>
    </w:p>
    <w:p>
      <w:pPr>
        <w:pStyle w:val="Compact"/>
        <w:numPr>
          <w:ilvl w:val="0"/>
          <w:numId w:val="1040"/>
        </w:numPr>
      </w:pPr>
      <w:r>
        <w:t xml:space="preserve">Política de cookies.</w:t>
      </w:r>
    </w:p>
    <w:p>
      <w:pPr>
        <w:pStyle w:val="Compact"/>
        <w:numPr>
          <w:ilvl w:val="0"/>
          <w:numId w:val="1040"/>
        </w:numPr>
      </w:pPr>
      <w:r>
        <w:t xml:space="preserve">CMP real con aceptar/rechazar/configurar y revocación.</w:t>
      </w:r>
    </w:p>
    <w:p>
      <w:pPr>
        <w:pStyle w:val="Compact"/>
        <w:numPr>
          <w:ilvl w:val="0"/>
          <w:numId w:val="1040"/>
        </w:numPr>
      </w:pPr>
      <w:r>
        <w:t xml:space="preserve">Billing, renovación, cancelación y reembolsos.</w:t>
      </w:r>
    </w:p>
    <w:p>
      <w:pPr>
        <w:pStyle w:val="Compact"/>
        <w:numPr>
          <w:ilvl w:val="0"/>
          <w:numId w:val="1040"/>
        </w:numPr>
      </w:pPr>
      <w:r>
        <w:t xml:space="preserve">Data Processing Addendum.</w:t>
      </w:r>
    </w:p>
    <w:p>
      <w:pPr>
        <w:pStyle w:val="Compact"/>
        <w:numPr>
          <w:ilvl w:val="0"/>
          <w:numId w:val="1040"/>
        </w:numPr>
      </w:pPr>
      <w:r>
        <w:t xml:space="preserve">Lista de subprocessors.</w:t>
      </w:r>
    </w:p>
    <w:p>
      <w:pPr>
        <w:pStyle w:val="Compact"/>
        <w:numPr>
          <w:ilvl w:val="0"/>
          <w:numId w:val="1040"/>
        </w:numPr>
      </w:pPr>
      <w:r>
        <w:t xml:space="preserve">Acceptable Use Policy.</w:t>
      </w:r>
    </w:p>
    <w:p>
      <w:pPr>
        <w:pStyle w:val="Compact"/>
        <w:numPr>
          <w:ilvl w:val="0"/>
          <w:numId w:val="1040"/>
        </w:numPr>
      </w:pPr>
      <w:r>
        <w:t xml:space="preserve">Propiedad intelectual, licencia de contenido y garantías del usuario.</w:t>
      </w:r>
    </w:p>
    <w:p>
      <w:pPr>
        <w:pStyle w:val="Compact"/>
        <w:numPr>
          <w:ilvl w:val="0"/>
          <w:numId w:val="1040"/>
        </w:numPr>
      </w:pPr>
      <w:r>
        <w:t xml:space="preserve">Política de IA y tratamiento de inputs/outputs.</w:t>
      </w:r>
    </w:p>
    <w:p>
      <w:pPr>
        <w:pStyle w:val="Compact"/>
        <w:numPr>
          <w:ilvl w:val="0"/>
          <w:numId w:val="1040"/>
        </w:numPr>
      </w:pPr>
      <w:r>
        <w:t xml:space="preserve">Copyright/takedown y canal de reclamaciones.</w:t>
      </w:r>
    </w:p>
    <w:p>
      <w:pPr>
        <w:pStyle w:val="Compact"/>
        <w:numPr>
          <w:ilvl w:val="0"/>
          <w:numId w:val="1040"/>
        </w:numPr>
      </w:pPr>
      <w:r>
        <w:t xml:space="preserve">Accessibility statement.</w:t>
      </w:r>
    </w:p>
    <w:p>
      <w:pPr>
        <w:pStyle w:val="Compact"/>
        <w:numPr>
          <w:ilvl w:val="0"/>
          <w:numId w:val="1040"/>
        </w:numPr>
      </w:pPr>
      <w:r>
        <w:t xml:space="preserve">Security disclosure policy.</w:t>
      </w:r>
    </w:p>
    <w:p>
      <w:pPr>
        <w:pStyle w:val="Compact"/>
        <w:numPr>
          <w:ilvl w:val="0"/>
          <w:numId w:val="1040"/>
        </w:numPr>
      </w:pPr>
      <w:r>
        <w:t xml:space="preserve">Status page y soporte.</w:t>
      </w:r>
    </w:p>
    <w:p>
      <w:pPr>
        <w:pStyle w:val="FirstParagraph"/>
      </w:pPr>
      <w:r>
        <w:t xml:space="preserve">La LSSI exige que la información identificativa sea accesible de forma permanente, fácil, directa y gratuita; también regula información contractual y cookies. La normativa de consumidores exige información precontractual y reglas específicas para contenido/servicios digitales cuando la relación sea B2C. La guía de cookies de AEPD exige opciones reales y retirada del consentimiento [L1–L4].</w:t>
      </w:r>
    </w:p>
    <w:bookmarkEnd w:id="111"/>
    <w:bookmarkStart w:id="112" w:name="b2b-first"/>
    <w:p>
      <w:pPr>
        <w:pStyle w:val="Heading2"/>
        <w:keepNext/>
        <w:widowControl/>
      </w:pPr>
      <w:r>
        <w:t xml:space="preserve">15.2 B2B-first</w:t>
      </w:r>
    </w:p>
    <w:p>
      <w:pPr>
        <w:pStyle w:val="FirstParagraph"/>
      </w:pPr>
      <w:r>
        <w:t xml:space="preserve">Recomendación comercial: lanzar como herramienta de uso profesional/B2B y describirlo claramente. Esto reduce complejidad, pero no elimina privacidad, cookies, facturación ni derechos que puedan aplicar a autónomos/consumidores. El checkout debe recoger país, tipo de cliente y datos fiscales suficientes.</w:t>
      </w:r>
    </w:p>
    <w:bookmarkEnd w:id="112"/>
    <w:bookmarkStart w:id="113" w:name="aceptación-versionada"/>
    <w:p>
      <w:pPr>
        <w:pStyle w:val="Heading2"/>
        <w:keepNext/>
        <w:widowControl/>
      </w:pPr>
      <w:r>
        <w:t xml:space="preserve">15.3 Aceptación versionada</w:t>
      </w:r>
    </w:p>
    <w:p>
      <w:pPr>
        <w:pStyle w:val="FirstParagraph"/>
      </w:pPr>
      <w:r>
        <w:t xml:space="preserve">Tablas: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legal_documents(id, type, version, effective_at, content_hash, url, status)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legal_acceptances(user_id, workspace_id, document_id, accepted_at, ip, user_agent, source)</w:t>
      </w:r>
      <w:r>
        <w:t xml:space="preserve">;</w:t>
      </w:r>
    </w:p>
    <w:p>
      <w:pPr>
        <w:pStyle w:val="Compact"/>
        <w:numPr>
          <w:ilvl w:val="0"/>
          <w:numId w:val="1041"/>
        </w:numPr>
      </w:pPr>
      <w:r>
        <w:rPr>
          <w:rStyle w:val="VerbatimChar"/>
        </w:rPr>
        <w:t xml:space="preserve">consent_records(subject_id, purpose, status, captured_at, withdrawn_at, evidence)</w:t>
      </w:r>
      <w:r>
        <w:t xml:space="preserve">.</w:t>
      </w:r>
    </w:p>
    <w:p>
      <w:pPr>
        <w:pStyle w:val="FirstParagraph"/>
      </w:pPr>
      <w:r>
        <w:t xml:space="preserve">Antes del primer pago: aceptar TOS y privacy vigentes. No usar checkbox premarcada. Guardar hash y versión.</w:t>
      </w:r>
    </w:p>
    <w:bookmarkEnd w:id="113"/>
    <w:bookmarkStart w:id="114" w:name="privacidad"/>
    <w:p>
      <w:pPr>
        <w:pStyle w:val="Heading2"/>
        <w:keepNext/>
        <w:widowControl/>
      </w:pPr>
      <w:r>
        <w:t xml:space="preserve">15.4 Privacidad</w:t>
      </w:r>
    </w:p>
    <w:p>
      <w:pPr>
        <w:pStyle w:val="Compact"/>
        <w:numPr>
          <w:ilvl w:val="0"/>
          <w:numId w:val="1042"/>
        </w:numPr>
      </w:pPr>
      <w:r>
        <w:t xml:space="preserve">data map y RoPA simplificado;</w:t>
      </w:r>
    </w:p>
    <w:p>
      <w:pPr>
        <w:pStyle w:val="Compact"/>
        <w:numPr>
          <w:ilvl w:val="0"/>
          <w:numId w:val="1042"/>
        </w:numPr>
      </w:pPr>
      <w:r>
        <w:t xml:space="preserve">propósito/base legal por evento;</w:t>
      </w:r>
    </w:p>
    <w:p>
      <w:pPr>
        <w:pStyle w:val="Compact"/>
        <w:numPr>
          <w:ilvl w:val="0"/>
          <w:numId w:val="1042"/>
        </w:numPr>
      </w:pPr>
      <w:r>
        <w:t xml:space="preserve">minimización;</w:t>
      </w:r>
    </w:p>
    <w:p>
      <w:pPr>
        <w:pStyle w:val="Compact"/>
        <w:numPr>
          <w:ilvl w:val="0"/>
          <w:numId w:val="1042"/>
        </w:numPr>
      </w:pPr>
      <w:r>
        <w:t xml:space="preserve">retention schedule;</w:t>
      </w:r>
    </w:p>
    <w:p>
      <w:pPr>
        <w:pStyle w:val="Compact"/>
        <w:numPr>
          <w:ilvl w:val="0"/>
          <w:numId w:val="1042"/>
        </w:numPr>
      </w:pPr>
      <w:r>
        <w:t xml:space="preserve">DSR export/delete;</w:t>
      </w:r>
    </w:p>
    <w:p>
      <w:pPr>
        <w:pStyle w:val="Compact"/>
        <w:numPr>
          <w:ilvl w:val="0"/>
          <w:numId w:val="1042"/>
        </w:numPr>
      </w:pPr>
      <w:r>
        <w:t xml:space="preserve">encryption in transit/at rest;</w:t>
      </w:r>
    </w:p>
    <w:p>
      <w:pPr>
        <w:pStyle w:val="Compact"/>
        <w:numPr>
          <w:ilvl w:val="0"/>
          <w:numId w:val="1042"/>
        </w:numPr>
      </w:pPr>
      <w:r>
        <w:t xml:space="preserve">vendor due diligence;</w:t>
      </w:r>
    </w:p>
    <w:p>
      <w:pPr>
        <w:pStyle w:val="Compact"/>
        <w:numPr>
          <w:ilvl w:val="0"/>
          <w:numId w:val="1042"/>
        </w:numPr>
      </w:pPr>
      <w:r>
        <w:t xml:space="preserve">transfer mechanism;</w:t>
      </w:r>
    </w:p>
    <w:p>
      <w:pPr>
        <w:pStyle w:val="Compact"/>
        <w:numPr>
          <w:ilvl w:val="0"/>
          <w:numId w:val="1042"/>
        </w:numPr>
      </w:pPr>
      <w:r>
        <w:t xml:space="preserve">breach runbook;</w:t>
      </w:r>
    </w:p>
    <w:p>
      <w:pPr>
        <w:pStyle w:val="Compact"/>
        <w:numPr>
          <w:ilvl w:val="0"/>
          <w:numId w:val="1042"/>
        </w:numPr>
      </w:pPr>
      <w:r>
        <w:t xml:space="preserve">analytics/cookies separados de operación esencial.</w:t>
      </w:r>
    </w:p>
    <w:bookmarkEnd w:id="114"/>
    <w:bookmarkStart w:id="115" w:name="ip-y-provenance"/>
    <w:p>
      <w:pPr>
        <w:pStyle w:val="Heading2"/>
        <w:keepNext/>
        <w:widowControl/>
      </w:pPr>
      <w:r>
        <w:t xml:space="preserve">15.5 IP y provenance</w:t>
      </w:r>
    </w:p>
    <w:p>
      <w:pPr>
        <w:pStyle w:val="FirstParagraph"/>
      </w:pPr>
      <w:r>
        <w:t xml:space="preserve">Cada módulo/asset de referencia debe registrar:</w:t>
      </w:r>
    </w:p>
    <w:p>
      <w:pPr>
        <w:pStyle w:val="Compact"/>
        <w:numPr>
          <w:ilvl w:val="0"/>
          <w:numId w:val="1043"/>
        </w:numPr>
      </w:pPr>
      <w:r>
        <w:t xml:space="preserve">autor/origen;</w:t>
      </w:r>
    </w:p>
    <w:p>
      <w:pPr>
        <w:pStyle w:val="Compact"/>
        <w:numPr>
          <w:ilvl w:val="0"/>
          <w:numId w:val="1043"/>
        </w:numPr>
      </w:pPr>
      <w:r>
        <w:t xml:space="preserve">URL y commit/tag;</w:t>
      </w:r>
    </w:p>
    <w:p>
      <w:pPr>
        <w:pStyle w:val="Compact"/>
        <w:numPr>
          <w:ilvl w:val="0"/>
          <w:numId w:val="1043"/>
        </w:numPr>
      </w:pPr>
      <w:r>
        <w:t xml:space="preserve">licencia SPDX;</w:t>
      </w:r>
    </w:p>
    <w:p>
      <w:pPr>
        <w:pStyle w:val="Compact"/>
        <w:numPr>
          <w:ilvl w:val="0"/>
          <w:numId w:val="1043"/>
        </w:numPr>
      </w:pPr>
      <w:r>
        <w:t xml:space="preserve">adaptación realizada;</w:t>
      </w:r>
    </w:p>
    <w:p>
      <w:pPr>
        <w:pStyle w:val="Compact"/>
        <w:numPr>
          <w:ilvl w:val="0"/>
          <w:numId w:val="1043"/>
        </w:numPr>
      </w:pPr>
      <w:r>
        <w:t xml:space="preserve">notices;</w:t>
      </w:r>
    </w:p>
    <w:p>
      <w:pPr>
        <w:pStyle w:val="Compact"/>
        <w:numPr>
          <w:ilvl w:val="0"/>
          <w:numId w:val="1043"/>
        </w:numPr>
      </w:pPr>
      <w:r>
        <w:t xml:space="preserve">restricciones de assets;</w:t>
      </w:r>
    </w:p>
    <w:p>
      <w:pPr>
        <w:pStyle w:val="Compact"/>
        <w:numPr>
          <w:ilvl w:val="0"/>
          <w:numId w:val="1043"/>
        </w:numPr>
      </w:pPr>
      <w:r>
        <w:t xml:space="preserve">fecha de revisión.</w:t>
      </w:r>
    </w:p>
    <w:p>
      <w:pPr>
        <w:pStyle w:val="FirstParagraph"/>
      </w:pPr>
      <w:r>
        <w:t xml:space="preserve">Crear</w:t>
      </w:r>
      <w:r>
        <w:t xml:space="preserve"> </w:t>
      </w:r>
      <w:r>
        <w:rPr>
          <w:rStyle w:val="VerbatimChar"/>
        </w:rPr>
        <w:t xml:space="preserve">THIRD_PARTY_NOTICES.md</w:t>
      </w:r>
      <w:r>
        <w:t xml:space="preserve">. No asumir que una interacción pública permite copiar código o assets. Para el repositorio público, decidir explícitamente:</w:t>
      </w:r>
    </w:p>
    <w:p>
      <w:pPr>
        <w:pStyle w:val="Compact"/>
        <w:numPr>
          <w:ilvl w:val="0"/>
          <w:numId w:val="1044"/>
        </w:numPr>
      </w:pPr>
      <w:r>
        <w:t xml:space="preserve">privado + propietario;</w:t>
      </w:r>
    </w:p>
    <w:p>
      <w:pPr>
        <w:pStyle w:val="Compact"/>
        <w:numPr>
          <w:ilvl w:val="0"/>
          <w:numId w:val="1044"/>
        </w:numPr>
      </w:pPr>
      <w:r>
        <w:t xml:space="preserve">open-core con paquetes delimitados;</w:t>
      </w:r>
    </w:p>
    <w:p>
      <w:pPr>
        <w:pStyle w:val="Compact"/>
        <w:numPr>
          <w:ilvl w:val="0"/>
          <w:numId w:val="1044"/>
        </w:numPr>
      </w:pPr>
      <w:r>
        <w:t xml:space="preserve">o licencia pública consciente.</w:t>
      </w:r>
    </w:p>
    <w:p>
      <w:pPr>
        <w:pStyle w:val="FirstParagraph"/>
      </w:pPr>
      <w:r>
        <w:t xml:space="preserve">La ausencia de decisión es un riesgo comercial.</w:t>
      </w:r>
    </w:p>
    <w:bookmarkEnd w:id="115"/>
    <w:bookmarkEnd w:id="116"/>
    <w:bookmarkStart w:id="117" w:name="accesibilidad-y-calidad-visual"/>
    <w:p>
      <w:pPr>
        <w:pStyle w:val="Heading1"/>
        <w:keepNext/>
        <w:widowControl/>
        <w:pageBreakBefore/>
      </w:pPr>
      <w:r>
        <w:br w:type="page"/>
      </w:r>
      <w:r>
        <w:t xml:space="preserve">16. Accesibilidad y calidad visual</w:t>
      </w:r>
    </w:p>
    <w:p>
      <w:pPr>
        <w:pStyle w:val="FirstParagraph"/>
      </w:pPr>
      <w:r>
        <w:t xml:space="preserve">Objetivo: WCAG 2.2 AA para shell, auth, dashboard, billing, legal, review y controles esenciales [O5]. Los viewers creativos deben ofrecer:</w:t>
      </w:r>
    </w:p>
    <w:p>
      <w:pPr>
        <w:pStyle w:val="Compact"/>
        <w:numPr>
          <w:ilvl w:val="0"/>
          <w:numId w:val="1045"/>
        </w:numPr>
      </w:pPr>
      <w:r>
        <w:t xml:space="preserve">reduced motion;</w:t>
      </w:r>
    </w:p>
    <w:p>
      <w:pPr>
        <w:pStyle w:val="Compact"/>
        <w:numPr>
          <w:ilvl w:val="0"/>
          <w:numId w:val="1045"/>
        </w:numPr>
      </w:pPr>
      <w:r>
        <w:t xml:space="preserve">pausa/replay;</w:t>
      </w:r>
    </w:p>
    <w:p>
      <w:pPr>
        <w:pStyle w:val="Compact"/>
        <w:numPr>
          <w:ilvl w:val="0"/>
          <w:numId w:val="1045"/>
        </w:numPr>
      </w:pPr>
      <w:r>
        <w:t xml:space="preserve">keyboard path cuando haya interacción;</w:t>
      </w:r>
    </w:p>
    <w:p>
      <w:pPr>
        <w:pStyle w:val="Compact"/>
        <w:numPr>
          <w:ilvl w:val="0"/>
          <w:numId w:val="1045"/>
        </w:numPr>
      </w:pPr>
      <w:r>
        <w:t xml:space="preserve">texto alternativo/contexto;</w:t>
      </w:r>
    </w:p>
    <w:p>
      <w:pPr>
        <w:pStyle w:val="Compact"/>
        <w:numPr>
          <w:ilvl w:val="0"/>
          <w:numId w:val="1045"/>
        </w:numPr>
      </w:pPr>
      <w:r>
        <w:t xml:space="preserve">contraste;</w:t>
      </w:r>
    </w:p>
    <w:p>
      <w:pPr>
        <w:pStyle w:val="Compact"/>
        <w:numPr>
          <w:ilvl w:val="0"/>
          <w:numId w:val="1045"/>
        </w:numPr>
      </w:pPr>
      <w:r>
        <w:t xml:space="preserve">foco visible;</w:t>
      </w:r>
    </w:p>
    <w:p>
      <w:pPr>
        <w:pStyle w:val="Compact"/>
        <w:numPr>
          <w:ilvl w:val="0"/>
          <w:numId w:val="1045"/>
        </w:numPr>
      </w:pPr>
      <w:r>
        <w:t xml:space="preserve">fallback cuando WebGL/WebGPU no esté disponible;</w:t>
      </w:r>
    </w:p>
    <w:p>
      <w:pPr>
        <w:pStyle w:val="Compact"/>
        <w:numPr>
          <w:ilvl w:val="0"/>
          <w:numId w:val="1045"/>
        </w:numPr>
      </w:pPr>
      <w:r>
        <w:t xml:space="preserve">no flashes peligrosos;</w:t>
      </w:r>
    </w:p>
    <w:p>
      <w:pPr>
        <w:pStyle w:val="Compact"/>
        <w:numPr>
          <w:ilvl w:val="0"/>
          <w:numId w:val="1045"/>
        </w:numPr>
      </w:pPr>
      <w:r>
        <w:t xml:space="preserve">target size adecuado;</w:t>
      </w:r>
    </w:p>
    <w:p>
      <w:pPr>
        <w:pStyle w:val="Compact"/>
        <w:numPr>
          <w:ilvl w:val="0"/>
          <w:numId w:val="1045"/>
        </w:numPr>
      </w:pPr>
      <w:r>
        <w:t xml:space="preserve">autenticación accesible.</w:t>
      </w:r>
    </w:p>
    <w:p>
      <w:pPr>
        <w:pStyle w:val="FirstParagraph"/>
      </w:pPr>
      <w:r>
        <w:t xml:space="preserve">QA visual obligatorio en:</w:t>
      </w:r>
    </w:p>
    <w:p>
      <w:pPr>
        <w:pStyle w:val="Compact"/>
        <w:numPr>
          <w:ilvl w:val="0"/>
          <w:numId w:val="1046"/>
        </w:numPr>
      </w:pPr>
      <w:r>
        <w:t xml:space="preserve">1440×900 desktop;</w:t>
      </w:r>
    </w:p>
    <w:p>
      <w:pPr>
        <w:pStyle w:val="Compact"/>
        <w:numPr>
          <w:ilvl w:val="0"/>
          <w:numId w:val="1046"/>
        </w:numPr>
      </w:pPr>
      <w:r>
        <w:t xml:space="preserve">1024×768 tablet;</w:t>
      </w:r>
    </w:p>
    <w:p>
      <w:pPr>
        <w:pStyle w:val="Compact"/>
        <w:numPr>
          <w:ilvl w:val="0"/>
          <w:numId w:val="1046"/>
        </w:numPr>
      </w:pPr>
      <w:r>
        <w:t xml:space="preserve">390×844 móvil;</w:t>
      </w:r>
    </w:p>
    <w:p>
      <w:pPr>
        <w:pStyle w:val="Compact"/>
        <w:numPr>
          <w:ilvl w:val="0"/>
          <w:numId w:val="1046"/>
        </w:numPr>
      </w:pPr>
      <w:r>
        <w:t xml:space="preserve">touch y teclado;</w:t>
      </w:r>
    </w:p>
    <w:p>
      <w:pPr>
        <w:pStyle w:val="Compact"/>
        <w:numPr>
          <w:ilvl w:val="0"/>
          <w:numId w:val="1046"/>
        </w:numPr>
      </w:pPr>
      <w:r>
        <w:t xml:space="preserve">reduced motion;</w:t>
      </w:r>
    </w:p>
    <w:p>
      <w:pPr>
        <w:pStyle w:val="Compact"/>
        <w:numPr>
          <w:ilvl w:val="0"/>
          <w:numId w:val="1046"/>
        </w:numPr>
      </w:pPr>
      <w:r>
        <w:t xml:space="preserve">conexión lenta y GPU baja.</w:t>
      </w:r>
    </w:p>
    <w:bookmarkEnd w:id="117"/>
    <w:bookmarkStart w:id="121" w:name="observabilidad-sre-y-operaciones"/>
    <w:p>
      <w:pPr>
        <w:pStyle w:val="Heading1"/>
        <w:keepNext/>
        <w:widowControl/>
        <w:pageBreakBefore/>
      </w:pPr>
      <w:r>
        <w:br w:type="page"/>
      </w:r>
      <w:r>
        <w:t xml:space="preserve">17. Observabilidad, SRE y operaciones</w:t>
      </w:r>
    </w:p>
    <w:bookmarkStart w:id="118" w:name="telemetría"/>
    <w:p>
      <w:pPr>
        <w:pStyle w:val="Heading2"/>
        <w:keepNext/>
        <w:widowControl/>
      </w:pPr>
      <w:r>
        <w:t xml:space="preserve">17.1 Telemetría</w:t>
      </w:r>
    </w:p>
    <w:p>
      <w:pPr>
        <w:pStyle w:val="FirstParagraph"/>
      </w:pPr>
      <w:r>
        <w:t xml:space="preserve">Logs estructurados con:</w:t>
      </w:r>
    </w:p>
    <w:p>
      <w:pPr>
        <w:pStyle w:val="SourceCode"/>
        <w:spacing w:before="80" w:after="120"/>
        <w:shd w:fill="F1F5F9"/>
      </w:pPr>
      <w:r>
        <w:rPr>
          <w:rStyle w:val="VerbatimChar"/>
          <w:rFonts w:ascii="Cascadia Mono" w:hAnsi="Cascadia Mono"/>
          <w:color w:val="0F172A"/>
          <w:sz w:val="15"/>
        </w:rPr>
        <w:t xml:space="preserve">requestId, traceId, userId hash, workspaceId, route,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status, durationMs, errorCode, deployment, release</w:t>
      </w:r>
    </w:p>
    <w:p>
      <w:pPr>
        <w:pStyle w:val="FirstParagraph"/>
      </w:pPr>
      <w:r>
        <w:t xml:space="preserve">Nunca password, tokens, Stripe secrets, full signed URLs ni contenido sensible.</w:t>
      </w:r>
    </w:p>
    <w:p>
      <w:pPr>
        <w:pStyle w:val="BodyText"/>
      </w:pPr>
      <w:r>
        <w:t xml:space="preserve">Métricas:</w:t>
      </w:r>
    </w:p>
    <w:p>
      <w:pPr>
        <w:pStyle w:val="Compact"/>
        <w:numPr>
          <w:ilvl w:val="0"/>
          <w:numId w:val="1047"/>
        </w:numPr>
      </w:pPr>
      <w:r>
        <w:t xml:space="preserve">API RPS, p50/p95/p99 y errores;</w:t>
      </w:r>
    </w:p>
    <w:p>
      <w:pPr>
        <w:pStyle w:val="Compact"/>
        <w:numPr>
          <w:ilvl w:val="0"/>
          <w:numId w:val="1047"/>
        </w:numPr>
      </w:pPr>
      <w:r>
        <w:t xml:space="preserve">auth success/failure/throttle;</w:t>
      </w:r>
    </w:p>
    <w:p>
      <w:pPr>
        <w:pStyle w:val="Compact"/>
        <w:numPr>
          <w:ilvl w:val="0"/>
          <w:numId w:val="1047"/>
        </w:numPr>
      </w:pPr>
      <w:r>
        <w:t xml:space="preserve">DB pool y slow queries;</w:t>
      </w:r>
    </w:p>
    <w:p>
      <w:pPr>
        <w:pStyle w:val="Compact"/>
        <w:numPr>
          <w:ilvl w:val="0"/>
          <w:numId w:val="1047"/>
        </w:numPr>
      </w:pPr>
      <w:r>
        <w:t xml:space="preserve">webhook lag/failure/retry;</w:t>
      </w:r>
    </w:p>
    <w:p>
      <w:pPr>
        <w:pStyle w:val="Compact"/>
        <w:numPr>
          <w:ilvl w:val="0"/>
          <w:numId w:val="1047"/>
        </w:numPr>
      </w:pPr>
      <w:r>
        <w:t xml:space="preserve">publish compile duration/failure;</w:t>
      </w:r>
    </w:p>
    <w:p>
      <w:pPr>
        <w:pStyle w:val="Compact"/>
        <w:numPr>
          <w:ilvl w:val="0"/>
          <w:numId w:val="1047"/>
        </w:numPr>
      </w:pPr>
      <w:r>
        <w:t xml:space="preserve">export queue depth/runtime/cost;</w:t>
      </w:r>
    </w:p>
    <w:p>
      <w:pPr>
        <w:pStyle w:val="Compact"/>
        <w:numPr>
          <w:ilvl w:val="0"/>
          <w:numId w:val="1047"/>
        </w:numPr>
      </w:pPr>
      <w:r>
        <w:t xml:space="preserve">asset rejection/storage/egress;</w:t>
      </w:r>
    </w:p>
    <w:p>
      <w:pPr>
        <w:pStyle w:val="Compact"/>
        <w:numPr>
          <w:ilvl w:val="0"/>
          <w:numId w:val="1047"/>
        </w:numPr>
      </w:pPr>
      <w:r>
        <w:t xml:space="preserve">AI latency/tokens/cost/schema failure;</w:t>
      </w:r>
    </w:p>
    <w:p>
      <w:pPr>
        <w:pStyle w:val="Compact"/>
        <w:numPr>
          <w:ilvl w:val="0"/>
          <w:numId w:val="1047"/>
        </w:numPr>
      </w:pPr>
      <w:r>
        <w:t xml:space="preserve">entitlement denials;</w:t>
      </w:r>
    </w:p>
    <w:p>
      <w:pPr>
        <w:pStyle w:val="Compact"/>
        <w:numPr>
          <w:ilvl w:val="0"/>
          <w:numId w:val="1047"/>
        </w:numPr>
      </w:pPr>
      <w:r>
        <w:t xml:space="preserve">payment recovery.</w:t>
      </w:r>
    </w:p>
    <w:bookmarkEnd w:id="118"/>
    <w:bookmarkStart w:id="119" w:name="slos-paid-beta"/>
    <w:p>
      <w:pPr>
        <w:pStyle w:val="Heading2"/>
        <w:keepNext/>
        <w:widowControl/>
        <w:pageBreakBefore/>
      </w:pPr>
      <w:r>
        <w:br w:type="page"/>
      </w:r>
      <w:r>
        <w:t xml:space="preserve">17.2 SLOs paid beta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5637"/>
        <w:gridCol w:w="4082"/>
      </w:tblGrid>
      <w:tr>
        <w:trPr>
          <w:tblHeader w:val="on"/>
          <w:tblHeader w:val="true"/>
          <w:cantSplit/>
        </w:trPr>
        <w:tc>
          <w:tcPr>
            <w:tcW w:type="dxa" w:w="563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Servicio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SLO inicial</w:t>
            </w:r>
          </w:p>
        </w:tc>
      </w:tr>
      <w:tr>
        <w:tc>
          <w:tcPr>
            <w:tcW w:type="dxa" w:w="563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API availability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6"/>
              </w:rPr>
              <w:t xml:space="preserve">99,5% mensual</w:t>
            </w:r>
          </w:p>
        </w:tc>
      </w:tr>
      <w:tr>
        <w:tc>
          <w:tcPr>
            <w:tcW w:type="dxa" w:w="563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Auth success p95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6"/>
              </w:rPr>
              <w:t xml:space="preserve">&lt; 800 ms excluyendo red externa</w:t>
            </w:r>
          </w:p>
        </w:tc>
      </w:tr>
      <w:tr>
        <w:tc>
          <w:tcPr>
            <w:tcW w:type="dxa" w:w="563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Project read p95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6"/>
              </w:rPr>
              <w:t xml:space="preserve">&lt; 400 ms</w:t>
            </w:r>
          </w:p>
        </w:tc>
      </w:tr>
      <w:tr>
        <w:tc>
          <w:tcPr>
            <w:tcW w:type="dxa" w:w="563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Project autosave p95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6"/>
              </w:rPr>
              <w:t xml:space="preserve">&lt; 700 ms</w:t>
            </w:r>
          </w:p>
        </w:tc>
      </w:tr>
      <w:tr>
        <w:tc>
          <w:tcPr>
            <w:tcW w:type="dxa" w:w="563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Publish success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6"/>
              </w:rPr>
              <w:t xml:space="preserve">&gt; 98% para módulos soportados</w:t>
            </w:r>
          </w:p>
        </w:tc>
      </w:tr>
      <w:tr>
        <w:tc>
          <w:tcPr>
            <w:tcW w:type="dxa" w:w="563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Webhook processed p95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6"/>
              </w:rPr>
              <w:t xml:space="preserve">&lt; 60 s</w:t>
            </w:r>
          </w:p>
        </w:tc>
      </w:tr>
      <w:tr>
        <w:tc>
          <w:tcPr>
            <w:tcW w:type="dxa" w:w="563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Asset validation success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6"/>
              </w:rPr>
              <w:t xml:space="preserve">&gt; 97% para inputs permitidos</w:t>
            </w:r>
          </w:p>
        </w:tc>
      </w:tr>
      <w:tr>
        <w:tc>
          <w:tcPr>
            <w:tcW w:type="dxa" w:w="5637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Restore test</w:t>
            </w:r>
          </w:p>
        </w:tc>
        <w:tc>
          <w:tcPr>
            <w:tcW w:type="dxa" w:w="4082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right"/>
            </w:pPr>
            <w:r>
              <w:rPr>
                <w:rFonts w:ascii="Aptos" w:hAnsi="Aptos"/>
                <w:color w:val="1E293B"/>
                <w:sz w:val="16"/>
              </w:rPr>
              <w:t xml:space="preserve">mensual</w:t>
            </w:r>
          </w:p>
        </w:tc>
      </w:tr>
    </w:tbl>
    <w:p>
      <w:pPr>
        <w:pStyle w:val="BodyText"/>
      </w:pPr>
      <w:r>
        <w:t xml:space="preserve">No vender SLA enterprise hasta medir al menos 90 días.</w:t>
      </w:r>
    </w:p>
    <w:bookmarkEnd w:id="119"/>
    <w:bookmarkStart w:id="120" w:name="runbooks"/>
    <w:p>
      <w:pPr>
        <w:pStyle w:val="Heading2"/>
        <w:keepNext/>
        <w:widowControl/>
      </w:pPr>
      <w:r>
        <w:t xml:space="preserve">17.3 Runbooks</w:t>
      </w:r>
    </w:p>
    <w:p>
      <w:pPr>
        <w:pStyle w:val="Compact"/>
        <w:numPr>
          <w:ilvl w:val="0"/>
          <w:numId w:val="1048"/>
        </w:numPr>
      </w:pPr>
      <w:r>
        <w:t xml:space="preserve">API down;</w:t>
      </w:r>
    </w:p>
    <w:p>
      <w:pPr>
        <w:pStyle w:val="Compact"/>
        <w:numPr>
          <w:ilvl w:val="0"/>
          <w:numId w:val="1048"/>
        </w:numPr>
      </w:pPr>
      <w:r>
        <w:t xml:space="preserve">DB unavailable;</w:t>
      </w:r>
    </w:p>
    <w:p>
      <w:pPr>
        <w:pStyle w:val="Compact"/>
        <w:numPr>
          <w:ilvl w:val="0"/>
          <w:numId w:val="1048"/>
        </w:numPr>
      </w:pPr>
      <w:r>
        <w:t xml:space="preserve">migration failure;</w:t>
      </w:r>
    </w:p>
    <w:p>
      <w:pPr>
        <w:pStyle w:val="Compact"/>
        <w:numPr>
          <w:ilvl w:val="0"/>
          <w:numId w:val="1048"/>
        </w:numPr>
      </w:pPr>
      <w:r>
        <w:t xml:space="preserve">Stripe webhook backlog;</w:t>
      </w:r>
    </w:p>
    <w:p>
      <w:pPr>
        <w:pStyle w:val="Compact"/>
        <w:numPr>
          <w:ilvl w:val="0"/>
          <w:numId w:val="1048"/>
        </w:numPr>
      </w:pPr>
      <w:r>
        <w:t xml:space="preserve">accidental plan grant/revoke;</w:t>
      </w:r>
    </w:p>
    <w:p>
      <w:pPr>
        <w:pStyle w:val="Compact"/>
        <w:numPr>
          <w:ilvl w:val="0"/>
          <w:numId w:val="1048"/>
        </w:numPr>
      </w:pPr>
      <w:r>
        <w:t xml:space="preserve">storage unavailable;</w:t>
      </w:r>
    </w:p>
    <w:p>
      <w:pPr>
        <w:pStyle w:val="Compact"/>
        <w:numPr>
          <w:ilvl w:val="0"/>
          <w:numId w:val="1048"/>
        </w:numPr>
      </w:pPr>
      <w:r>
        <w:t xml:space="preserve">publish corruption;</w:t>
      </w:r>
    </w:p>
    <w:p>
      <w:pPr>
        <w:pStyle w:val="Compact"/>
        <w:numPr>
          <w:ilvl w:val="0"/>
          <w:numId w:val="1048"/>
        </w:numPr>
      </w:pPr>
      <w:r>
        <w:t xml:space="preserve">credential compromise;</w:t>
      </w:r>
    </w:p>
    <w:p>
      <w:pPr>
        <w:pStyle w:val="Compact"/>
        <w:numPr>
          <w:ilvl w:val="0"/>
          <w:numId w:val="1048"/>
        </w:numPr>
      </w:pPr>
      <w:r>
        <w:t xml:space="preserve">data deletion request;</w:t>
      </w:r>
    </w:p>
    <w:p>
      <w:pPr>
        <w:pStyle w:val="Compact"/>
        <w:numPr>
          <w:ilvl w:val="0"/>
          <w:numId w:val="1048"/>
        </w:numPr>
      </w:pPr>
      <w:r>
        <w:t xml:space="preserve">incident communication.</w:t>
      </w:r>
    </w:p>
    <w:bookmarkEnd w:id="120"/>
    <w:bookmarkEnd w:id="121"/>
    <w:bookmarkStart w:id="125" w:name="cicd-y-gobierno-de-github"/>
    <w:p>
      <w:pPr>
        <w:pStyle w:val="Heading1"/>
        <w:keepNext/>
        <w:widowControl/>
        <w:pageBreakBefore/>
      </w:pPr>
      <w:r>
        <w:br w:type="page"/>
      </w:r>
      <w:r>
        <w:t xml:space="preserve">18. CI/CD y gobierno de GitHub</w:t>
      </w:r>
    </w:p>
    <w:bookmarkStart w:id="122" w:name="estado-y-objetivo"/>
    <w:p>
      <w:pPr>
        <w:pStyle w:val="Heading2"/>
        <w:keepNext/>
        <w:widowControl/>
      </w:pPr>
      <w:r>
        <w:t xml:space="preserve">18.1 Estado y objetivo</w:t>
      </w:r>
    </w:p>
    <w:p>
      <w:pPr>
        <w:pStyle w:val="FirstParagraph"/>
      </w:pPr>
      <w:r>
        <w:t xml:space="preserve">La CI actual no ejecuta tests aunque el paquete dispone de ellos [G9]. Debe convertirse en required checks:</w:t>
      </w:r>
    </w:p>
    <w:p>
      <w:pPr>
        <w:pStyle w:val="Compact"/>
        <w:numPr>
          <w:ilvl w:val="0"/>
          <w:numId w:val="1049"/>
        </w:numPr>
      </w:pPr>
      <w:r>
        <w:t xml:space="preserve">install reproducible;</w:t>
      </w:r>
    </w:p>
    <w:p>
      <w:pPr>
        <w:pStyle w:val="Compact"/>
        <w:numPr>
          <w:ilvl w:val="0"/>
          <w:numId w:val="1049"/>
        </w:numPr>
      </w:pPr>
      <w:r>
        <w:t xml:space="preserve">format/lint;</w:t>
      </w:r>
    </w:p>
    <w:p>
      <w:pPr>
        <w:pStyle w:val="Compact"/>
        <w:numPr>
          <w:ilvl w:val="0"/>
          <w:numId w:val="1049"/>
        </w:numPr>
      </w:pPr>
      <w:r>
        <w:t xml:space="preserve">typecheck;</w:t>
      </w:r>
    </w:p>
    <w:p>
      <w:pPr>
        <w:pStyle w:val="Compact"/>
        <w:numPr>
          <w:ilvl w:val="0"/>
          <w:numId w:val="1049"/>
        </w:numPr>
      </w:pPr>
      <w:r>
        <w:t xml:space="preserve">unit tests;</w:t>
      </w:r>
    </w:p>
    <w:p>
      <w:pPr>
        <w:pStyle w:val="Compact"/>
        <w:numPr>
          <w:ilvl w:val="0"/>
          <w:numId w:val="1049"/>
        </w:numPr>
      </w:pPr>
      <w:r>
        <w:t xml:space="preserve">integration tests con PostgreSQL;</w:t>
      </w:r>
    </w:p>
    <w:p>
      <w:pPr>
        <w:pStyle w:val="Compact"/>
        <w:numPr>
          <w:ilvl w:val="0"/>
          <w:numId w:val="1049"/>
        </w:numPr>
      </w:pPr>
      <w:r>
        <w:t xml:space="preserve">build;</w:t>
      </w:r>
    </w:p>
    <w:p>
      <w:pPr>
        <w:pStyle w:val="Compact"/>
        <w:numPr>
          <w:ilvl w:val="0"/>
          <w:numId w:val="1049"/>
        </w:numPr>
      </w:pPr>
      <w:r>
        <w:t xml:space="preserve">migration apply from empty y previous snapshot;</w:t>
      </w:r>
    </w:p>
    <w:p>
      <w:pPr>
        <w:pStyle w:val="Compact"/>
        <w:numPr>
          <w:ilvl w:val="0"/>
          <w:numId w:val="1049"/>
        </w:numPr>
      </w:pPr>
      <w:r>
        <w:t xml:space="preserve">OpenAPI/schema drift;</w:t>
      </w:r>
    </w:p>
    <w:p>
      <w:pPr>
        <w:pStyle w:val="Compact"/>
        <w:numPr>
          <w:ilvl w:val="0"/>
          <w:numId w:val="1049"/>
        </w:numPr>
      </w:pPr>
      <w:r>
        <w:t xml:space="preserve">frontend syntax/build;</w:t>
      </w:r>
    </w:p>
    <w:p>
      <w:pPr>
        <w:pStyle w:val="Compact"/>
        <w:numPr>
          <w:ilvl w:val="0"/>
          <w:numId w:val="1049"/>
        </w:numPr>
      </w:pPr>
      <w:r>
        <w:t xml:space="preserve">Playwright smoke;</w:t>
      </w:r>
    </w:p>
    <w:p>
      <w:pPr>
        <w:pStyle w:val="Compact"/>
        <w:numPr>
          <w:ilvl w:val="0"/>
          <w:numId w:val="1049"/>
        </w:numPr>
      </w:pPr>
      <w:r>
        <w:t xml:space="preserve">visual regression de rutas críticas;</w:t>
      </w:r>
    </w:p>
    <w:p>
      <w:pPr>
        <w:pStyle w:val="Compact"/>
        <w:numPr>
          <w:ilvl w:val="0"/>
          <w:numId w:val="1049"/>
        </w:numPr>
      </w:pPr>
      <w:r>
        <w:t xml:space="preserve">CodeQL;</w:t>
      </w:r>
    </w:p>
    <w:p>
      <w:pPr>
        <w:pStyle w:val="Compact"/>
        <w:numPr>
          <w:ilvl w:val="0"/>
          <w:numId w:val="1049"/>
        </w:numPr>
      </w:pPr>
      <w:r>
        <w:t xml:space="preserve">dependency review;</w:t>
      </w:r>
    </w:p>
    <w:p>
      <w:pPr>
        <w:pStyle w:val="Compact"/>
        <w:numPr>
          <w:ilvl w:val="0"/>
          <w:numId w:val="1049"/>
        </w:numPr>
      </w:pPr>
      <w:r>
        <w:t xml:space="preserve">secret scan;</w:t>
      </w:r>
    </w:p>
    <w:p>
      <w:pPr>
        <w:pStyle w:val="Compact"/>
        <w:numPr>
          <w:ilvl w:val="0"/>
          <w:numId w:val="1049"/>
        </w:numPr>
      </w:pPr>
      <w:r>
        <w:t xml:space="preserve">license/notice check;</w:t>
      </w:r>
    </w:p>
    <w:p>
      <w:pPr>
        <w:pStyle w:val="Compact"/>
        <w:numPr>
          <w:ilvl w:val="0"/>
          <w:numId w:val="1049"/>
        </w:numPr>
      </w:pPr>
      <w:r>
        <w:t xml:space="preserve">artifact/SBOM cuando proceda.</w:t>
      </w:r>
    </w:p>
    <w:p>
      <w:pPr>
        <w:pStyle w:val="FirstParagraph"/>
      </w:pPr>
      <w:r>
        <w:t xml:space="preserve">GitHub ofrece CodeQL para análisis semántico y dependency graph para visibilidad de supply chain [S1, S2].</w:t>
      </w:r>
    </w:p>
    <w:bookmarkEnd w:id="122"/>
    <w:bookmarkStart w:id="123" w:name="archivos-de-gobierno"/>
    <w:p>
      <w:pPr>
        <w:pStyle w:val="Heading2"/>
        <w:keepNext/>
        <w:widowControl/>
      </w:pPr>
      <w:r>
        <w:t xml:space="preserve">18.2 Archivos de gobierno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SECURITY.md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CONTRIBUTING.md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CODEOWNERS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PULL_REQUEST_TEMPLATE.md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THIRD_PARTY_NOTICES.md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t xml:space="preserve">decisión de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docs/status/current-state.md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docs/adr/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docs/runbooks/</w:t>
      </w:r>
      <w:r>
        <w:t xml:space="preserve">;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</w:rPr>
        <w:t xml:space="preserve">AGENTS.md</w:t>
      </w:r>
      <w:r>
        <w:t xml:space="preserve"> </w:t>
      </w:r>
      <w:r>
        <w:t xml:space="preserve">como fuente común para Codex/Claude.</w:t>
      </w:r>
    </w:p>
    <w:bookmarkEnd w:id="123"/>
    <w:bookmarkStart w:id="124" w:name="branch-protection"/>
    <w:p>
      <w:pPr>
        <w:pStyle w:val="Heading2"/>
        <w:keepNext/>
        <w:widowControl/>
      </w:pPr>
      <w:r>
        <w:t xml:space="preserve">18.3 Branch protection</w:t>
      </w:r>
    </w:p>
    <w:p>
      <w:pPr>
        <w:pStyle w:val="Compact"/>
        <w:numPr>
          <w:ilvl w:val="0"/>
          <w:numId w:val="1051"/>
        </w:numPr>
      </w:pPr>
      <w:r>
        <w:t xml:space="preserve">no push directo a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;</w:t>
      </w:r>
    </w:p>
    <w:p>
      <w:pPr>
        <w:pStyle w:val="Compact"/>
        <w:numPr>
          <w:ilvl w:val="0"/>
          <w:numId w:val="1051"/>
        </w:numPr>
      </w:pPr>
      <w:r>
        <w:t xml:space="preserve">checks obligatorios;</w:t>
      </w:r>
    </w:p>
    <w:p>
      <w:pPr>
        <w:pStyle w:val="Compact"/>
        <w:numPr>
          <w:ilvl w:val="0"/>
          <w:numId w:val="1051"/>
        </w:numPr>
      </w:pPr>
      <w:r>
        <w:t xml:space="preserve">review independiente para P0;</w:t>
      </w:r>
    </w:p>
    <w:p>
      <w:pPr>
        <w:pStyle w:val="Compact"/>
        <w:numPr>
          <w:ilvl w:val="0"/>
          <w:numId w:val="1051"/>
        </w:numPr>
      </w:pPr>
      <w:r>
        <w:t xml:space="preserve">conversation resolution;</w:t>
      </w:r>
    </w:p>
    <w:p>
      <w:pPr>
        <w:pStyle w:val="Compact"/>
        <w:numPr>
          <w:ilvl w:val="0"/>
          <w:numId w:val="1051"/>
        </w:numPr>
      </w:pPr>
      <w:r>
        <w:t xml:space="preserve">stale branch update;</w:t>
      </w:r>
    </w:p>
    <w:p>
      <w:pPr>
        <w:pStyle w:val="Compact"/>
        <w:numPr>
          <w:ilvl w:val="0"/>
          <w:numId w:val="1051"/>
        </w:numPr>
      </w:pPr>
      <w:r>
        <w:t xml:space="preserve">merge commit/squash definido consistentemente;</w:t>
      </w:r>
    </w:p>
    <w:p>
      <w:pPr>
        <w:pStyle w:val="Compact"/>
        <w:numPr>
          <w:ilvl w:val="0"/>
          <w:numId w:val="1051"/>
        </w:numPr>
      </w:pPr>
      <w:r>
        <w:t xml:space="preserve">deployment preview antes de merge frontend.</w:t>
      </w:r>
    </w:p>
    <w:bookmarkEnd w:id="124"/>
    <w:bookmarkEnd w:id="125"/>
    <w:bookmarkStart w:id="129" w:name="analytics-y-experimentación"/>
    <w:p>
      <w:pPr>
        <w:pStyle w:val="Heading1"/>
        <w:keepNext/>
        <w:widowControl/>
        <w:pageBreakBefore/>
      </w:pPr>
      <w:r>
        <w:br w:type="page"/>
      </w:r>
      <w:r>
        <w:t xml:space="preserve">19. Analytics y experimentación</w:t>
      </w:r>
    </w:p>
    <w:bookmarkStart w:id="126" w:name="taxonomía-de-eventos"/>
    <w:p>
      <w:pPr>
        <w:pStyle w:val="Heading2"/>
        <w:keepNext/>
        <w:widowControl/>
      </w:pPr>
      <w:r>
        <w:t xml:space="preserve">19.1 Taxonomía de eventos</w:t>
      </w:r>
    </w:p>
    <w:p>
      <w:pPr>
        <w:pStyle w:val="FirstParagraph"/>
      </w:pPr>
      <w:r>
        <w:t xml:space="preserve">Eventos mínimos:</w:t>
      </w:r>
    </w:p>
    <w:p>
      <w:pPr>
        <w:pStyle w:val="SourceCode"/>
        <w:spacing w:before="80" w:after="120"/>
        <w:shd w:fill="F1F5F9"/>
      </w:pPr>
      <w:r>
        <w:rPr>
          <w:rStyle w:val="VerbatimChar"/>
          <w:rFonts w:ascii="Cascadia Mono" w:hAnsi="Cascadia Mono"/>
          <w:color w:val="0F172A"/>
          <w:sz w:val="15"/>
        </w:rPr>
        <w:t xml:space="preserve">account_registered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email_verified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workspace_created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project_created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project_first_value_completed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asset_upload_started/completed/rejected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preview_completed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export_requested/succeeded/failed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publish_requested/succeeded/revoked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embed_loaded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cta_clicked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checkout_started/completed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subscription_activated/past_due/canceled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credits_reserved/captured/released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ai_plan_requested/succeeded/rejected</w:t>
      </w:r>
    </w:p>
    <w:p>
      <w:pPr>
        <w:pStyle w:val="FirstParagraph"/>
      </w:pPr>
      <w:r>
        <w:t xml:space="preserve">Todos incluyen event version, workspace, plan snapshot, project/module IDs y client/server timestamp cuando corresponda. Evitar PII en propiedades analíticas.</w:t>
      </w:r>
    </w:p>
    <w:bookmarkEnd w:id="126"/>
    <w:bookmarkStart w:id="127" w:name="funnel"/>
    <w:p>
      <w:pPr>
        <w:pStyle w:val="Heading2"/>
        <w:keepNext/>
        <w:widowControl/>
      </w:pPr>
      <w:r>
        <w:t xml:space="preserve">19.2 Funnel</w:t>
      </w:r>
    </w:p>
    <w:p>
      <w:pPr>
        <w:pStyle w:val="Compact"/>
        <w:numPr>
          <w:ilvl w:val="0"/>
          <w:numId w:val="1052"/>
        </w:numPr>
      </w:pPr>
      <w:r>
        <w:t xml:space="preserve">Visit → register.</w:t>
      </w:r>
    </w:p>
    <w:p>
      <w:pPr>
        <w:pStyle w:val="Compact"/>
        <w:numPr>
          <w:ilvl w:val="0"/>
          <w:numId w:val="1052"/>
        </w:numPr>
      </w:pPr>
      <w:r>
        <w:t xml:space="preserve">Register → verified.</w:t>
      </w:r>
    </w:p>
    <w:p>
      <w:pPr>
        <w:pStyle w:val="Compact"/>
        <w:numPr>
          <w:ilvl w:val="0"/>
          <w:numId w:val="1052"/>
        </w:numPr>
      </w:pPr>
      <w:r>
        <w:t xml:space="preserve">Verified → project created.</w:t>
      </w:r>
    </w:p>
    <w:p>
      <w:pPr>
        <w:pStyle w:val="Compact"/>
        <w:numPr>
          <w:ilvl w:val="0"/>
          <w:numId w:val="1052"/>
        </w:numPr>
      </w:pPr>
      <w:r>
        <w:t xml:space="preserve">Project → first value.</w:t>
      </w:r>
    </w:p>
    <w:p>
      <w:pPr>
        <w:pStyle w:val="Compact"/>
        <w:numPr>
          <w:ilvl w:val="0"/>
          <w:numId w:val="1052"/>
        </w:numPr>
      </w:pPr>
      <w:r>
        <w:t xml:space="preserve">First value → checkout.</w:t>
      </w:r>
    </w:p>
    <w:p>
      <w:pPr>
        <w:pStyle w:val="Compact"/>
        <w:numPr>
          <w:ilvl w:val="0"/>
          <w:numId w:val="1052"/>
        </w:numPr>
      </w:pPr>
      <w:r>
        <w:t xml:space="preserve">Checkout → active.</w:t>
      </w:r>
    </w:p>
    <w:p>
      <w:pPr>
        <w:pStyle w:val="Compact"/>
        <w:numPr>
          <w:ilvl w:val="0"/>
          <w:numId w:val="1052"/>
        </w:numPr>
      </w:pPr>
      <w:r>
        <w:t xml:space="preserve">Active → second week value.</w:t>
      </w:r>
    </w:p>
    <w:p>
      <w:pPr>
        <w:pStyle w:val="Compact"/>
        <w:numPr>
          <w:ilvl w:val="0"/>
          <w:numId w:val="1052"/>
        </w:numPr>
      </w:pPr>
      <w:r>
        <w:t xml:space="preserve">Paid → retained day 30/90.</w:t>
      </w:r>
    </w:p>
    <w:bookmarkEnd w:id="127"/>
    <w:bookmarkStart w:id="128" w:name="experimentos-prioritarios"/>
    <w:p>
      <w:pPr>
        <w:pStyle w:val="Heading2"/>
        <w:keepNext/>
        <w:widowControl/>
      </w:pPr>
      <w:r>
        <w:t xml:space="preserve">19.3 Experimentos prioritarios</w:t>
      </w:r>
    </w:p>
    <w:p>
      <w:pPr>
        <w:pStyle w:val="Compact"/>
        <w:numPr>
          <w:ilvl w:val="0"/>
          <w:numId w:val="1053"/>
        </w:numPr>
      </w:pPr>
      <w:r>
        <w:t xml:space="preserve">CTA de upgrade tras preview vs tras export.</w:t>
      </w:r>
    </w:p>
    <w:p>
      <w:pPr>
        <w:pStyle w:val="Compact"/>
        <w:numPr>
          <w:ilvl w:val="0"/>
          <w:numId w:val="1053"/>
        </w:numPr>
      </w:pPr>
      <w:r>
        <w:t xml:space="preserve">Founder offer vs precio estándar.</w:t>
      </w:r>
    </w:p>
    <w:p>
      <w:pPr>
        <w:pStyle w:val="Compact"/>
        <w:numPr>
          <w:ilvl w:val="0"/>
          <w:numId w:val="1053"/>
        </w:numPr>
      </w:pPr>
      <w:r>
        <w:t xml:space="preserve">Template por sector vs biblioteca abierta.</w:t>
      </w:r>
    </w:p>
    <w:p>
      <w:pPr>
        <w:pStyle w:val="Compact"/>
        <w:numPr>
          <w:ilvl w:val="0"/>
          <w:numId w:val="1053"/>
        </w:numPr>
      </w:pPr>
      <w:r>
        <w:t xml:space="preserve">Guided onboarding vs editor vacío.</w:t>
      </w:r>
    </w:p>
    <w:p>
      <w:pPr>
        <w:pStyle w:val="Compact"/>
        <w:numPr>
          <w:ilvl w:val="0"/>
          <w:numId w:val="1053"/>
        </w:numPr>
      </w:pPr>
      <w:r>
        <w:t xml:space="preserve">Pro 39/49 € con entrevistas y cohortes, no sólo A/B de bajo tráfico.</w:t>
      </w:r>
    </w:p>
    <w:p>
      <w:pPr>
        <w:pStyle w:val="Compact"/>
        <w:numPr>
          <w:ilvl w:val="0"/>
          <w:numId w:val="1053"/>
        </w:numPr>
      </w:pPr>
      <w:r>
        <w:t xml:space="preserve">Existencia del plan Creator.</w:t>
      </w:r>
    </w:p>
    <w:p>
      <w:pPr>
        <w:pStyle w:val="FirstParagraph"/>
      </w:pPr>
      <w:r>
        <w:t xml:space="preserve">Cada experimento define hipótesis, métrica, guardrail, muestra mínima razonable y decisión.</w:t>
      </w:r>
    </w:p>
    <w:bookmarkEnd w:id="128"/>
    <w:bookmarkEnd w:id="129"/>
    <w:bookmarkStart w:id="142" w:name="roadmap-por-release-gates"/>
    <w:p>
      <w:pPr>
        <w:pStyle w:val="Heading1"/>
        <w:keepNext/>
        <w:widowControl/>
        <w:pageBreakBefore/>
      </w:pPr>
      <w:r>
        <w:br w:type="page"/>
      </w:r>
      <w:r>
        <w:t xml:space="preserve">20. Roadmap por release gates</w:t>
      </w:r>
    </w:p>
    <w:p>
      <w:pPr>
        <w:pStyle w:val="CaptionedFigure"/>
        <w:spacing w:before="80" w:after="120"/>
        <w:jc w:val="center"/>
      </w:pPr>
      <w:r>
        <w:drawing>
          <wp:inline>
            <wp:extent cx="6047232" cy="3205224"/>
            <wp:effectExtent b="0" l="0" r="0" t="0"/>
            <wp:docPr descr="Release gates" title="" id="131" name="Picture"/>
            <a:graphic>
              <a:graphicData uri="http://schemas.openxmlformats.org/drawingml/2006/picture">
                <pic:pic>
                  <pic:nvPicPr>
                    <pic:cNvPr descr="assets/roadmap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232" cy="3205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Release gates</w:t>
      </w:r>
    </w:p>
    <w:bookmarkStart w:id="133" w:name="g0-baseline-auditada"/>
    <w:p>
      <w:pPr>
        <w:pStyle w:val="Heading2"/>
        <w:keepNext/>
        <w:widowControl/>
      </w:pPr>
      <w:r>
        <w:t xml:space="preserve">20.1 G0 — Baseline auditada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completado/parcial.</w:t>
      </w:r>
    </w:p>
    <w:p>
      <w:pPr>
        <w:pStyle w:val="BodyText"/>
      </w:pPr>
      <w:r>
        <w:t xml:space="preserve">Incluye API, DB, auth foundation, default workspace, Checkout foundation y frontend auth gate. No debe confundirse con paid beta.</w:t>
      </w:r>
    </w:p>
    <w:bookmarkEnd w:id="133"/>
    <w:bookmarkStart w:id="134" w:name="g1-paid-beta-segura"/>
    <w:p>
      <w:pPr>
        <w:pStyle w:val="Heading2"/>
        <w:keepNext/>
        <w:widowControl/>
      </w:pPr>
      <w:r>
        <w:t xml:space="preserve">20.2 G1 — Paid Beta segura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poder cobrar a un grupo cerrado sin depender de acciones manuales inseguras.</w:t>
      </w:r>
    </w:p>
    <w:p>
      <w:pPr>
        <w:pStyle w:val="BodyText"/>
      </w:pPr>
      <w:r>
        <w:t xml:space="preserve">Entregables:</w:t>
      </w:r>
    </w:p>
    <w:p>
      <w:pPr>
        <w:pStyle w:val="Compact"/>
        <w:numPr>
          <w:ilvl w:val="0"/>
          <w:numId w:val="1054"/>
        </w:numPr>
      </w:pPr>
      <w:r>
        <w:t xml:space="preserve">auth v2 segura;</w:t>
      </w:r>
    </w:p>
    <w:p>
      <w:pPr>
        <w:pStyle w:val="Compact"/>
        <w:numPr>
          <w:ilvl w:val="0"/>
          <w:numId w:val="1054"/>
        </w:numPr>
      </w:pPr>
      <w:r>
        <w:t xml:space="preserve">Stripe webhook + portal + reconciliación;</w:t>
      </w:r>
    </w:p>
    <w:p>
      <w:pPr>
        <w:pStyle w:val="Compact"/>
        <w:numPr>
          <w:ilvl w:val="0"/>
          <w:numId w:val="1054"/>
        </w:numPr>
      </w:pPr>
      <w:r>
        <w:t xml:space="preserve">entitlements server-side;</w:t>
      </w:r>
    </w:p>
    <w:p>
      <w:pPr>
        <w:pStyle w:val="Compact"/>
        <w:numPr>
          <w:ilvl w:val="0"/>
          <w:numId w:val="1054"/>
        </w:numPr>
      </w:pPr>
      <w:r>
        <w:t xml:space="preserve">checkout URL allowlist;</w:t>
      </w:r>
    </w:p>
    <w:p>
      <w:pPr>
        <w:pStyle w:val="Compact"/>
        <w:numPr>
          <w:ilvl w:val="0"/>
          <w:numId w:val="1054"/>
        </w:numPr>
      </w:pPr>
      <w:r>
        <w:t xml:space="preserve">Legal &amp; Trust Center;</w:t>
      </w:r>
    </w:p>
    <w:p>
      <w:pPr>
        <w:pStyle w:val="Compact"/>
        <w:numPr>
          <w:ilvl w:val="0"/>
          <w:numId w:val="1054"/>
        </w:numPr>
      </w:pPr>
      <w:r>
        <w:t xml:space="preserve">CI required checks;</w:t>
      </w:r>
    </w:p>
    <w:p>
      <w:pPr>
        <w:pStyle w:val="Compact"/>
        <w:numPr>
          <w:ilvl w:val="0"/>
          <w:numId w:val="1054"/>
        </w:numPr>
      </w:pPr>
      <w:r>
        <w:t xml:space="preserve">dominios y entornos;</w:t>
      </w:r>
    </w:p>
    <w:p>
      <w:pPr>
        <w:pStyle w:val="Compact"/>
        <w:numPr>
          <w:ilvl w:val="0"/>
          <w:numId w:val="1054"/>
        </w:numPr>
      </w:pPr>
      <w:r>
        <w:t xml:space="preserve">backups/alerts/runbooks;</w:t>
      </w:r>
    </w:p>
    <w:p>
      <w:pPr>
        <w:pStyle w:val="Compact"/>
        <w:numPr>
          <w:ilvl w:val="0"/>
          <w:numId w:val="1054"/>
        </w:numPr>
      </w:pPr>
      <w:r>
        <w:t xml:space="preserve">licensing decision.</w:t>
      </w:r>
    </w:p>
    <w:p>
      <w:pPr>
        <w:pStyle w:val="FirstParagraph"/>
      </w:pPr>
      <w:r>
        <w:rPr>
          <w:b/>
          <w:bCs/>
        </w:rPr>
        <w:t xml:space="preserve">Exit criteria:</w:t>
      </w:r>
      <w:r>
        <w:t xml:space="preserve"> </w:t>
      </w:r>
      <w:r>
        <w:t xml:space="preserve">ningún acceso Pro se activa desde navegador; no existe token largo legible por JS; pago/impago/cancelación se refleja; términos aceptados; tests y alertas pasan.</w:t>
      </w:r>
    </w:p>
    <w:p>
      <w:pPr>
        <w:pStyle w:val="BodyText"/>
      </w:pPr>
      <w:r>
        <w:rPr>
          <w:b/>
          <w:bCs/>
        </w:rPr>
        <w:t xml:space="preserve">Estimación:</w:t>
      </w:r>
      <w:r>
        <w:t xml:space="preserve"> </w:t>
      </w:r>
      <w:r>
        <w:t xml:space="preserve">16–25 días de ingeniería focalizada, más validación legal externa.</w:t>
      </w:r>
    </w:p>
    <w:bookmarkEnd w:id="134"/>
    <w:bookmarkStart w:id="135" w:name="g2-core-persistente"/>
    <w:p>
      <w:pPr>
        <w:pStyle w:val="Heading2"/>
        <w:keepNext/>
        <w:widowControl/>
      </w:pPr>
      <w:r>
        <w:t xml:space="preserve">20.3 G2 — Core persistente</w:t>
      </w:r>
    </w:p>
    <w:p>
      <w:pPr>
        <w:pStyle w:val="Compact"/>
        <w:numPr>
          <w:ilvl w:val="0"/>
          <w:numId w:val="1055"/>
        </w:numPr>
      </w:pPr>
      <w:r>
        <w:t xml:space="preserve">ProjectDocument v1;</w:t>
      </w:r>
    </w:p>
    <w:p>
      <w:pPr>
        <w:pStyle w:val="Compact"/>
        <w:numPr>
          <w:ilvl w:val="0"/>
          <w:numId w:val="1055"/>
        </w:numPr>
      </w:pPr>
      <w:r>
        <w:t xml:space="preserve">CRUD/autosave/conflict;</w:t>
      </w:r>
    </w:p>
    <w:p>
      <w:pPr>
        <w:pStyle w:val="Compact"/>
        <w:numPr>
          <w:ilvl w:val="0"/>
          <w:numId w:val="1055"/>
        </w:numPr>
      </w:pPr>
      <w:r>
        <w:t xml:space="preserve">versiones/restore;</w:t>
      </w:r>
    </w:p>
    <w:p>
      <w:pPr>
        <w:pStyle w:val="Compact"/>
        <w:numPr>
          <w:ilvl w:val="0"/>
          <w:numId w:val="1055"/>
        </w:numPr>
      </w:pPr>
      <w:r>
        <w:t xml:space="preserve">presets cloud e import legacy;</w:t>
      </w:r>
    </w:p>
    <w:p>
      <w:pPr>
        <w:pStyle w:val="Compact"/>
        <w:numPr>
          <w:ilvl w:val="0"/>
          <w:numId w:val="1055"/>
        </w:numPr>
      </w:pPr>
      <w:r>
        <w:t xml:space="preserve">dashboard mínimo de proyectos.</w:t>
      </w:r>
    </w:p>
    <w:p>
      <w:pPr>
        <w:pStyle w:val="FirstParagraph"/>
      </w:pPr>
      <w:r>
        <w:rPr>
          <w:b/>
          <w:bCs/>
        </w:rPr>
        <w:t xml:space="preserve">Exit:</w:t>
      </w:r>
      <w:r>
        <w:t xml:space="preserve"> </w:t>
      </w:r>
      <w:r>
        <w:t xml:space="preserve">cerrar navegador y recuperar exactamente el proyecto en otro dispositivo.</w:t>
      </w:r>
    </w:p>
    <w:bookmarkEnd w:id="135"/>
    <w:bookmarkStart w:id="136" w:name="g3-delivery-saas"/>
    <w:p>
      <w:pPr>
        <w:pStyle w:val="Heading2"/>
        <w:keepNext/>
        <w:widowControl/>
      </w:pPr>
      <w:r>
        <w:t xml:space="preserve">20.4 G3 — Delivery SaaS</w:t>
      </w:r>
    </w:p>
    <w:p>
      <w:pPr>
        <w:pStyle w:val="Compact"/>
        <w:numPr>
          <w:ilvl w:val="0"/>
          <w:numId w:val="1056"/>
        </w:numPr>
      </w:pPr>
      <w:r>
        <w:t xml:space="preserve">object storage;</w:t>
      </w:r>
    </w:p>
    <w:p>
      <w:pPr>
        <w:pStyle w:val="Compact"/>
        <w:numPr>
          <w:ilvl w:val="0"/>
          <w:numId w:val="1056"/>
        </w:numPr>
      </w:pPr>
      <w:r>
        <w:t xml:space="preserve">asset validation;</w:t>
      </w:r>
    </w:p>
    <w:p>
      <w:pPr>
        <w:pStyle w:val="Compact"/>
        <w:numPr>
          <w:ilvl w:val="0"/>
          <w:numId w:val="1056"/>
        </w:numPr>
      </w:pPr>
      <w:r>
        <w:t xml:space="preserve">ViewerRelease;</w:t>
      </w:r>
    </w:p>
    <w:p>
      <w:pPr>
        <w:pStyle w:val="Compact"/>
        <w:numPr>
          <w:ilvl w:val="0"/>
          <w:numId w:val="1056"/>
        </w:numPr>
      </w:pPr>
      <w:r>
        <w:t xml:space="preserve">stable publish/revoke;</w:t>
      </w:r>
    </w:p>
    <w:p>
      <w:pPr>
        <w:pStyle w:val="Compact"/>
        <w:numPr>
          <w:ilvl w:val="0"/>
          <w:numId w:val="1056"/>
        </w:numPr>
      </w:pPr>
      <w:r>
        <w:t xml:space="preserve">iframe embed;</w:t>
      </w:r>
    </w:p>
    <w:p>
      <w:pPr>
        <w:pStyle w:val="Compact"/>
        <w:numPr>
          <w:ilvl w:val="0"/>
          <w:numId w:val="1056"/>
        </w:numPr>
      </w:pPr>
      <w:r>
        <w:t xml:space="preserve">analytics básicos.</w:t>
      </w:r>
    </w:p>
    <w:p>
      <w:pPr>
        <w:pStyle w:val="FirstParagraph"/>
      </w:pPr>
      <w:r>
        <w:rPr>
          <w:b/>
          <w:bCs/>
        </w:rPr>
        <w:t xml:space="preserve">Exit:</w:t>
      </w:r>
      <w:r>
        <w:t xml:space="preserve"> </w:t>
      </w:r>
      <w:r>
        <w:t xml:space="preserve">un cliente externo puede abrir una URL estable sin editor y el propietario puede revocarla.</w:t>
      </w:r>
    </w:p>
    <w:bookmarkEnd w:id="136"/>
    <w:bookmarkStart w:id="137" w:name="g4-cost-scale"/>
    <w:p>
      <w:pPr>
        <w:pStyle w:val="Heading2"/>
        <w:keepNext/>
        <w:widowControl/>
      </w:pPr>
      <w:r>
        <w:t xml:space="preserve">20.5 G4 — Cost scale</w:t>
      </w:r>
    </w:p>
    <w:p>
      <w:pPr>
        <w:pStyle w:val="Compact"/>
        <w:numPr>
          <w:ilvl w:val="0"/>
          <w:numId w:val="1057"/>
        </w:numPr>
      </w:pPr>
      <w:r>
        <w:t xml:space="preserve">export registry;</w:t>
      </w:r>
    </w:p>
    <w:p>
      <w:pPr>
        <w:pStyle w:val="Compact"/>
        <w:numPr>
          <w:ilvl w:val="0"/>
          <w:numId w:val="1057"/>
        </w:numPr>
      </w:pPr>
      <w:r>
        <w:t xml:space="preserve">credit ledger;</w:t>
      </w:r>
    </w:p>
    <w:p>
      <w:pPr>
        <w:pStyle w:val="Compact"/>
        <w:numPr>
          <w:ilvl w:val="0"/>
          <w:numId w:val="1057"/>
        </w:numPr>
      </w:pPr>
      <w:r>
        <w:t xml:space="preserve">worker sólo si lo exige la demanda;</w:t>
      </w:r>
    </w:p>
    <w:p>
      <w:pPr>
        <w:pStyle w:val="Compact"/>
        <w:numPr>
          <w:ilvl w:val="0"/>
          <w:numId w:val="1057"/>
        </w:numPr>
      </w:pPr>
      <w:r>
        <w:t xml:space="preserve">notificaciones y cost telemetry.</w:t>
      </w:r>
    </w:p>
    <w:p>
      <w:pPr>
        <w:pStyle w:val="FirstParagraph"/>
      </w:pPr>
      <w:r>
        <w:rPr>
          <w:b/>
          <w:bCs/>
        </w:rPr>
        <w:t xml:space="preserve">Trigger worker:</w:t>
      </w:r>
      <w:r>
        <w:t xml:space="preserve"> </w:t>
      </w:r>
      <w:r>
        <w:t xml:space="preserve">fallos/tiempos del navegador, demanda de formatos premium o coste que requiera control central.</w:t>
      </w:r>
    </w:p>
    <w:bookmarkEnd w:id="137"/>
    <w:bookmarkStart w:id="138" w:name="g5-studio-workflow"/>
    <w:p>
      <w:pPr>
        <w:pStyle w:val="Heading2"/>
        <w:keepNext/>
        <w:widowControl/>
      </w:pPr>
      <w:r>
        <w:t xml:space="preserve">20.6 G5 — Studio workflow</w:t>
      </w:r>
    </w:p>
    <w:p>
      <w:pPr>
        <w:pStyle w:val="Compact"/>
        <w:numPr>
          <w:ilvl w:val="0"/>
          <w:numId w:val="1058"/>
        </w:numPr>
      </w:pPr>
      <w:r>
        <w:t xml:space="preserve">RBAC completo;</w:t>
      </w:r>
    </w:p>
    <w:p>
      <w:pPr>
        <w:pStyle w:val="Compact"/>
        <w:numPr>
          <w:ilvl w:val="0"/>
          <w:numId w:val="1058"/>
        </w:numPr>
      </w:pPr>
      <w:r>
        <w:t xml:space="preserve">invites;</w:t>
      </w:r>
    </w:p>
    <w:p>
      <w:pPr>
        <w:pStyle w:val="Compact"/>
        <w:numPr>
          <w:ilvl w:val="0"/>
          <w:numId w:val="1058"/>
        </w:numPr>
      </w:pPr>
      <w:r>
        <w:t xml:space="preserve">client folders;</w:t>
      </w:r>
    </w:p>
    <w:p>
      <w:pPr>
        <w:pStyle w:val="Compact"/>
        <w:numPr>
          <w:ilvl w:val="0"/>
          <w:numId w:val="1058"/>
        </w:numPr>
      </w:pPr>
      <w:r>
        <w:t xml:space="preserve">review links;</w:t>
      </w:r>
    </w:p>
    <w:p>
      <w:pPr>
        <w:pStyle w:val="Compact"/>
        <w:numPr>
          <w:ilvl w:val="0"/>
          <w:numId w:val="1058"/>
        </w:numPr>
      </w:pPr>
      <w:r>
        <w:t xml:space="preserve">aprobación y comentarios;</w:t>
      </w:r>
    </w:p>
    <w:p>
      <w:pPr>
        <w:pStyle w:val="Compact"/>
        <w:numPr>
          <w:ilvl w:val="0"/>
          <w:numId w:val="1058"/>
        </w:numPr>
      </w:pPr>
      <w:r>
        <w:t xml:space="preserve">templates compartidas.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al menos cinco agencias usando más de un cliente/proyecto recurrente.</w:t>
      </w:r>
    </w:p>
    <w:bookmarkEnd w:id="138"/>
    <w:bookmarkStart w:id="139" w:name="g6-ai-director"/>
    <w:p>
      <w:pPr>
        <w:pStyle w:val="Heading2"/>
        <w:keepNext/>
        <w:widowControl/>
      </w:pPr>
      <w:r>
        <w:t xml:space="preserve">20.7 G6 — AI Director</w:t>
      </w:r>
    </w:p>
    <w:p>
      <w:pPr>
        <w:pStyle w:val="Compact"/>
        <w:numPr>
          <w:ilvl w:val="0"/>
          <w:numId w:val="1059"/>
        </w:numPr>
      </w:pPr>
      <w:r>
        <w:t xml:space="preserve">CampaignPlan;</w:t>
      </w:r>
    </w:p>
    <w:p>
      <w:pPr>
        <w:pStyle w:val="Compact"/>
        <w:numPr>
          <w:ilvl w:val="0"/>
          <w:numId w:val="1059"/>
        </w:numPr>
      </w:pPr>
      <w:r>
        <w:t xml:space="preserve">provider abstraction;</w:t>
      </w:r>
    </w:p>
    <w:p>
      <w:pPr>
        <w:pStyle w:val="Compact"/>
        <w:numPr>
          <w:ilvl w:val="0"/>
          <w:numId w:val="1059"/>
        </w:numPr>
      </w:pPr>
      <w:r>
        <w:t xml:space="preserve">prompt registry;</w:t>
      </w:r>
    </w:p>
    <w:p>
      <w:pPr>
        <w:pStyle w:val="Compact"/>
        <w:numPr>
          <w:ilvl w:val="0"/>
          <w:numId w:val="1059"/>
        </w:numPr>
      </w:pPr>
      <w:r>
        <w:t xml:space="preserve">evaluation;</w:t>
      </w:r>
    </w:p>
    <w:p>
      <w:pPr>
        <w:pStyle w:val="Compact"/>
        <w:numPr>
          <w:ilvl w:val="0"/>
          <w:numId w:val="1059"/>
        </w:numPr>
      </w:pPr>
      <w:r>
        <w:t xml:space="preserve">tres variantes compilables;</w:t>
      </w:r>
    </w:p>
    <w:p>
      <w:pPr>
        <w:pStyle w:val="Compact"/>
        <w:numPr>
          <w:ilvl w:val="0"/>
          <w:numId w:val="1059"/>
        </w:numPr>
      </w:pPr>
      <w:r>
        <w:t xml:space="preserve">credit estimates.</w:t>
      </w:r>
    </w:p>
    <w:p>
      <w:pPr>
        <w:pStyle w:val="FirstParagraph"/>
      </w:pPr>
      <w:r>
        <w:rPr>
          <w:b/>
          <w:bCs/>
        </w:rPr>
        <w:t xml:space="preserve">Trigger:</w:t>
      </w:r>
      <w:r>
        <w:t xml:space="preserve"> </w:t>
      </w:r>
      <w:r>
        <w:t xml:space="preserve">core estable y dataset de al menos 50 briefs/resultados revisados.</w:t>
      </w:r>
    </w:p>
    <w:bookmarkEnd w:id="139"/>
    <w:bookmarkStart w:id="140" w:name="g7-enterprise"/>
    <w:p>
      <w:pPr>
        <w:pStyle w:val="Heading2"/>
        <w:keepNext/>
        <w:widowControl/>
      </w:pPr>
      <w:r>
        <w:t xml:space="preserve">20.8 G7 — Enterprise</w:t>
      </w:r>
    </w:p>
    <w:p>
      <w:pPr>
        <w:pStyle w:val="FirstParagraph"/>
      </w:pPr>
      <w:r>
        <w:t xml:space="preserve">SSO, SCIM, custom domains, SLA y governance sólo con demanda firmada o tres oportunidades cualificadas.</w:t>
      </w:r>
      <w:r>
        <w:t xml:space="preserve"> </w:t>
      </w:r>
      <w:r>
        <w:t xml:space="preserve">“</w:t>
      </w:r>
      <w:r>
        <w:t xml:space="preserve">Enterprise-grade</w:t>
      </w:r>
      <w:r>
        <w:t xml:space="preserve">”</w:t>
      </w:r>
      <w:r>
        <w:t xml:space="preserve"> </w:t>
      </w:r>
      <w:r>
        <w:t xml:space="preserve">describe cómo se construye desde G1; no obliga a construir Enterprise antes de product-market evidence.</w:t>
      </w:r>
    </w:p>
    <w:bookmarkEnd w:id="140"/>
    <w:bookmarkStart w:id="141" w:name="no-construir-todavía"/>
    <w:p>
      <w:pPr>
        <w:pStyle w:val="Heading2"/>
        <w:keepNext/>
        <w:widowControl/>
      </w:pPr>
      <w:r>
        <w:t xml:space="preserve">20.9 No construir todavía</w:t>
      </w:r>
    </w:p>
    <w:p>
      <w:pPr>
        <w:pStyle w:val="Compact"/>
        <w:numPr>
          <w:ilvl w:val="0"/>
          <w:numId w:val="1060"/>
        </w:numPr>
      </w:pPr>
      <w:r>
        <w:t xml:space="preserve">PayPal subscriptions;</w:t>
      </w:r>
    </w:p>
    <w:p>
      <w:pPr>
        <w:pStyle w:val="Compact"/>
        <w:numPr>
          <w:ilvl w:val="0"/>
          <w:numId w:val="1060"/>
        </w:numPr>
      </w:pPr>
      <w:r>
        <w:t xml:space="preserve">marketplace;</w:t>
      </w:r>
    </w:p>
    <w:p>
      <w:pPr>
        <w:pStyle w:val="Compact"/>
        <w:numPr>
          <w:ilvl w:val="0"/>
          <w:numId w:val="1060"/>
        </w:numPr>
      </w:pPr>
      <w:r>
        <w:t xml:space="preserve">white-label completo;</w:t>
      </w:r>
    </w:p>
    <w:p>
      <w:pPr>
        <w:pStyle w:val="Compact"/>
        <w:numPr>
          <w:ilvl w:val="0"/>
          <w:numId w:val="1060"/>
        </w:numPr>
      </w:pPr>
      <w:r>
        <w:t xml:space="preserve">public API;</w:t>
      </w:r>
    </w:p>
    <w:p>
      <w:pPr>
        <w:pStyle w:val="Compact"/>
        <w:numPr>
          <w:ilvl w:val="0"/>
          <w:numId w:val="1060"/>
        </w:numPr>
      </w:pPr>
      <w:r>
        <w:t xml:space="preserve">SSO/SCIM;</w:t>
      </w:r>
    </w:p>
    <w:p>
      <w:pPr>
        <w:pStyle w:val="Compact"/>
        <w:numPr>
          <w:ilvl w:val="0"/>
          <w:numId w:val="1060"/>
        </w:numPr>
      </w:pPr>
      <w:r>
        <w:t xml:space="preserve">microservicios;</w:t>
      </w:r>
    </w:p>
    <w:p>
      <w:pPr>
        <w:pStyle w:val="Compact"/>
        <w:numPr>
          <w:ilvl w:val="0"/>
          <w:numId w:val="1060"/>
        </w:numPr>
      </w:pPr>
      <w:r>
        <w:t xml:space="preserve">Redis por defecto;</w:t>
      </w:r>
    </w:p>
    <w:p>
      <w:pPr>
        <w:pStyle w:val="Compact"/>
        <w:numPr>
          <w:ilvl w:val="0"/>
          <w:numId w:val="1060"/>
        </w:numPr>
      </w:pPr>
      <w:r>
        <w:t xml:space="preserve">4K ilimitado;</w:t>
      </w:r>
    </w:p>
    <w:p>
      <w:pPr>
        <w:pStyle w:val="Compact"/>
        <w:numPr>
          <w:ilvl w:val="0"/>
          <w:numId w:val="1060"/>
        </w:numPr>
      </w:pPr>
      <w:r>
        <w:t xml:space="preserve">colaboración en tiempo real;</w:t>
      </w:r>
    </w:p>
    <w:p>
      <w:pPr>
        <w:pStyle w:val="Compact"/>
        <w:numPr>
          <w:ilvl w:val="0"/>
          <w:numId w:val="1060"/>
        </w:numPr>
      </w:pPr>
      <w:r>
        <w:t xml:space="preserve">AI que genera código;</w:t>
      </w:r>
    </w:p>
    <w:p>
      <w:pPr>
        <w:pStyle w:val="Compact"/>
        <w:numPr>
          <w:ilvl w:val="0"/>
          <w:numId w:val="1060"/>
        </w:numPr>
      </w:pPr>
      <w:r>
        <w:t xml:space="preserve">apps móviles nativas.</w:t>
      </w:r>
    </w:p>
    <w:bookmarkEnd w:id="141"/>
    <w:bookmarkEnd w:id="142"/>
    <w:bookmarkStart w:id="145" w:name="definition-of-ready-y-definition-of-done"/>
    <w:p>
      <w:pPr>
        <w:pStyle w:val="Heading1"/>
        <w:keepNext/>
        <w:widowControl/>
        <w:pageBreakBefore/>
      </w:pPr>
      <w:r>
        <w:br w:type="page"/>
      </w:r>
      <w:r>
        <w:t xml:space="preserve">21. Definition of Ready y Definition of Done</w:t>
      </w:r>
    </w:p>
    <w:bookmarkStart w:id="143" w:name="ready"/>
    <w:p>
      <w:pPr>
        <w:pStyle w:val="Heading2"/>
        <w:keepNext/>
        <w:widowControl/>
      </w:pPr>
      <w:r>
        <w:t xml:space="preserve">21.1 Ready</w:t>
      </w:r>
    </w:p>
    <w:p>
      <w:pPr>
        <w:pStyle w:val="FirstParagraph"/>
      </w:pPr>
      <w:r>
        <w:t xml:space="preserve">Una microfase está lista cuando posee:</w:t>
      </w:r>
    </w:p>
    <w:p>
      <w:pPr>
        <w:pStyle w:val="Compact"/>
        <w:numPr>
          <w:ilvl w:val="0"/>
          <w:numId w:val="1061"/>
        </w:numPr>
      </w:pPr>
      <w:r>
        <w:t xml:space="preserve">objetivo de producto único;</w:t>
      </w:r>
    </w:p>
    <w:p>
      <w:pPr>
        <w:pStyle w:val="Compact"/>
        <w:numPr>
          <w:ilvl w:val="0"/>
          <w:numId w:val="1061"/>
        </w:numPr>
      </w:pPr>
      <w:r>
        <w:t xml:space="preserve">baseline SHA;</w:t>
      </w:r>
    </w:p>
    <w:p>
      <w:pPr>
        <w:pStyle w:val="Compact"/>
        <w:numPr>
          <w:ilvl w:val="0"/>
          <w:numId w:val="1061"/>
        </w:numPr>
      </w:pPr>
      <w:r>
        <w:t xml:space="preserve">dependencias cerradas;</w:t>
      </w:r>
    </w:p>
    <w:p>
      <w:pPr>
        <w:pStyle w:val="Compact"/>
        <w:numPr>
          <w:ilvl w:val="0"/>
          <w:numId w:val="1061"/>
        </w:numPr>
      </w:pPr>
      <w:r>
        <w:t xml:space="preserve">paths permitidos/prohibidos;</w:t>
      </w:r>
    </w:p>
    <w:p>
      <w:pPr>
        <w:pStyle w:val="Compact"/>
        <w:numPr>
          <w:ilvl w:val="0"/>
          <w:numId w:val="1061"/>
        </w:numPr>
      </w:pPr>
      <w:r>
        <w:t xml:space="preserve">contratos y estados;</w:t>
      </w:r>
    </w:p>
    <w:p>
      <w:pPr>
        <w:pStyle w:val="Compact"/>
        <w:numPr>
          <w:ilvl w:val="0"/>
          <w:numId w:val="1061"/>
        </w:numPr>
      </w:pPr>
      <w:r>
        <w:t xml:space="preserve">criterios de aceptación observables;</w:t>
      </w:r>
    </w:p>
    <w:p>
      <w:pPr>
        <w:pStyle w:val="Compact"/>
        <w:numPr>
          <w:ilvl w:val="0"/>
          <w:numId w:val="1061"/>
        </w:numPr>
      </w:pPr>
      <w:r>
        <w:t xml:space="preserve">tests positivos y negativos;</w:t>
      </w:r>
    </w:p>
    <w:p>
      <w:pPr>
        <w:pStyle w:val="Compact"/>
        <w:numPr>
          <w:ilvl w:val="0"/>
          <w:numId w:val="1061"/>
        </w:numPr>
      </w:pPr>
      <w:r>
        <w:t xml:space="preserve">plan de migración/rollback;</w:t>
      </w:r>
    </w:p>
    <w:p>
      <w:pPr>
        <w:pStyle w:val="Compact"/>
        <w:numPr>
          <w:ilvl w:val="0"/>
          <w:numId w:val="1061"/>
        </w:numPr>
      </w:pPr>
      <w:r>
        <w:t xml:space="preserve">owner y revisor.</w:t>
      </w:r>
    </w:p>
    <w:bookmarkEnd w:id="143"/>
    <w:bookmarkStart w:id="144" w:name="done"/>
    <w:p>
      <w:pPr>
        <w:pStyle w:val="Heading2"/>
        <w:keepNext/>
        <w:widowControl/>
      </w:pPr>
      <w:r>
        <w:t xml:space="preserve">21.2 Done</w:t>
      </w:r>
    </w:p>
    <w:p>
      <w:pPr>
        <w:pStyle w:val="Compact"/>
        <w:numPr>
          <w:ilvl w:val="0"/>
          <w:numId w:val="1062"/>
        </w:numPr>
      </w:pPr>
      <w:r>
        <w:t xml:space="preserve">rama real</w:t>
      </w:r>
      <w:r>
        <w:t xml:space="preserve"> </w:t>
      </w:r>
      <w:r>
        <w:rPr>
          <w:rStyle w:val="VerbatimChar"/>
        </w:rPr>
        <w:t xml:space="preserve">agent/&lt;epic&gt;-&lt;slug&gt;</w:t>
      </w:r>
      <w:r>
        <w:t xml:space="preserve">;</w:t>
      </w:r>
    </w:p>
    <w:p>
      <w:pPr>
        <w:pStyle w:val="Compact"/>
        <w:numPr>
          <w:ilvl w:val="0"/>
          <w:numId w:val="1062"/>
        </w:numPr>
      </w:pPr>
      <w:r>
        <w:t xml:space="preserve">commits intencionales;</w:t>
      </w:r>
    </w:p>
    <w:p>
      <w:pPr>
        <w:pStyle w:val="Compact"/>
        <w:numPr>
          <w:ilvl w:val="0"/>
          <w:numId w:val="1062"/>
        </w:numPr>
      </w:pPr>
      <w:r>
        <w:t xml:space="preserve">PR con scope y riesgos;</w:t>
      </w:r>
    </w:p>
    <w:p>
      <w:pPr>
        <w:pStyle w:val="Compact"/>
        <w:numPr>
          <w:ilvl w:val="0"/>
          <w:numId w:val="1062"/>
        </w:numPr>
      </w:pPr>
      <w:r>
        <w:t xml:space="preserve">tests requeridos en CI;</w:t>
      </w:r>
    </w:p>
    <w:p>
      <w:pPr>
        <w:pStyle w:val="Compact"/>
        <w:numPr>
          <w:ilvl w:val="0"/>
          <w:numId w:val="1062"/>
        </w:numPr>
      </w:pPr>
      <w:r>
        <w:t xml:space="preserve">no errores de typecheck/build;</w:t>
      </w:r>
    </w:p>
    <w:p>
      <w:pPr>
        <w:pStyle w:val="Compact"/>
        <w:numPr>
          <w:ilvl w:val="0"/>
          <w:numId w:val="1062"/>
        </w:numPr>
      </w:pPr>
      <w:r>
        <w:t xml:space="preserve">migration y rollback strategy;</w:t>
      </w:r>
    </w:p>
    <w:p>
      <w:pPr>
        <w:pStyle w:val="Compact"/>
        <w:numPr>
          <w:ilvl w:val="0"/>
          <w:numId w:val="1062"/>
        </w:numPr>
      </w:pPr>
      <w:r>
        <w:t xml:space="preserve">OpenAPI/schemas/docs actualizados;</w:t>
      </w:r>
    </w:p>
    <w:p>
      <w:pPr>
        <w:pStyle w:val="Compact"/>
        <w:numPr>
          <w:ilvl w:val="0"/>
          <w:numId w:val="1062"/>
        </w:numPr>
      </w:pPr>
      <w:r>
        <w:t xml:space="preserve">auth/tenant/plan negative tests;</w:t>
      </w:r>
    </w:p>
    <w:p>
      <w:pPr>
        <w:pStyle w:val="Compact"/>
        <w:numPr>
          <w:ilvl w:val="0"/>
          <w:numId w:val="1062"/>
        </w:numPr>
      </w:pPr>
      <w:r>
        <w:t xml:space="preserve">logs/metrics para el nuevo flujo;</w:t>
      </w:r>
    </w:p>
    <w:p>
      <w:pPr>
        <w:pStyle w:val="Compact"/>
        <w:numPr>
          <w:ilvl w:val="0"/>
          <w:numId w:val="1062"/>
        </w:numPr>
      </w:pPr>
      <w:r>
        <w:t xml:space="preserve">QA visual desktop/tablet/mobile;</w:t>
      </w:r>
    </w:p>
    <w:p>
      <w:pPr>
        <w:pStyle w:val="Compact"/>
        <w:numPr>
          <w:ilvl w:val="0"/>
          <w:numId w:val="1062"/>
        </w:numPr>
      </w:pPr>
      <w:r>
        <w:t xml:space="preserve">preview verificada;</w:t>
      </w:r>
    </w:p>
    <w:p>
      <w:pPr>
        <w:pStyle w:val="Compact"/>
        <w:numPr>
          <w:ilvl w:val="0"/>
          <w:numId w:val="1062"/>
        </w:numPr>
      </w:pPr>
      <w:r>
        <w:t xml:space="preserve">review independiente resuelta;</w:t>
      </w:r>
    </w:p>
    <w:p>
      <w:pPr>
        <w:pStyle w:val="Compact"/>
        <w:numPr>
          <w:ilvl w:val="0"/>
          <w:numId w:val="1062"/>
        </w:numPr>
      </w:pPr>
      <w:r>
        <w:t xml:space="preserve">no secretos ni notices pendientes.</w:t>
      </w:r>
    </w:p>
    <w:bookmarkEnd w:id="144"/>
    <w:bookmarkEnd w:id="145"/>
    <w:bookmarkStart w:id="153" w:name="X06c12e742de359ab7f15527851c91a17ceec5dc"/>
    <w:p>
      <w:pPr>
        <w:pStyle w:val="Heading1"/>
        <w:keepNext/>
        <w:widowControl/>
        <w:pageBreakBefore/>
      </w:pPr>
      <w:r>
        <w:br w:type="page"/>
      </w:r>
      <w:r>
        <w:t xml:space="preserve">22. Protocolo obligatorio para Codex y Claude</w:t>
      </w:r>
    </w:p>
    <w:bookmarkStart w:id="150" w:name="división-de-responsabilidades"/>
    <w:p>
      <w:pPr>
        <w:pStyle w:val="Heading2"/>
        <w:keepNext/>
        <w:widowControl/>
      </w:pPr>
      <w:r>
        <w:t xml:space="preserve">22.1 División de responsabilidades</w:t>
      </w:r>
    </w:p>
    <w:bookmarkStart w:id="146" w:name="codex"/>
    <w:p>
      <w:pPr>
        <w:pStyle w:val="Heading3"/>
        <w:keepNext/>
        <w:widowControl/>
      </w:pPr>
      <w:r>
        <w:t xml:space="preserve">Codex</w:t>
      </w:r>
    </w:p>
    <w:p>
      <w:pPr>
        <w:pStyle w:val="Compact"/>
        <w:numPr>
          <w:ilvl w:val="0"/>
          <w:numId w:val="1063"/>
        </w:numPr>
      </w:pPr>
      <w:r>
        <w:t xml:space="preserve">implementar;</w:t>
      </w:r>
    </w:p>
    <w:p>
      <w:pPr>
        <w:pStyle w:val="Compact"/>
        <w:numPr>
          <w:ilvl w:val="0"/>
          <w:numId w:val="1063"/>
        </w:numPr>
      </w:pPr>
      <w:r>
        <w:t xml:space="preserve">escribir migraciones y tests;</w:t>
      </w:r>
    </w:p>
    <w:p>
      <w:pPr>
        <w:pStyle w:val="Compact"/>
        <w:numPr>
          <w:ilvl w:val="0"/>
          <w:numId w:val="1063"/>
        </w:numPr>
      </w:pPr>
      <w:r>
        <w:t xml:space="preserve">ejecutar QA;</w:t>
      </w:r>
    </w:p>
    <w:p>
      <w:pPr>
        <w:pStyle w:val="Compact"/>
        <w:numPr>
          <w:ilvl w:val="0"/>
          <w:numId w:val="1063"/>
        </w:numPr>
      </w:pPr>
      <w:r>
        <w:t xml:space="preserve">corregir CI;</w:t>
      </w:r>
    </w:p>
    <w:p>
      <w:pPr>
        <w:pStyle w:val="Compact"/>
        <w:numPr>
          <w:ilvl w:val="0"/>
          <w:numId w:val="1063"/>
        </w:numPr>
      </w:pPr>
      <w:r>
        <w:t xml:space="preserve">preparar PR y evidencia.</w:t>
      </w:r>
    </w:p>
    <w:bookmarkEnd w:id="146"/>
    <w:bookmarkStart w:id="147" w:name="claude"/>
    <w:p>
      <w:pPr>
        <w:pStyle w:val="Heading3"/>
        <w:keepNext/>
        <w:widowControl/>
      </w:pPr>
      <w:r>
        <w:t xml:space="preserve">Claude</w:t>
      </w:r>
    </w:p>
    <w:p>
      <w:pPr>
        <w:pStyle w:val="Compact"/>
        <w:numPr>
          <w:ilvl w:val="0"/>
          <w:numId w:val="1064"/>
        </w:numPr>
      </w:pPr>
      <w:r>
        <w:t xml:space="preserve">revisar arquitectura, seguridad, legal-tech y coherencia;</w:t>
      </w:r>
    </w:p>
    <w:p>
      <w:pPr>
        <w:pStyle w:val="Compact"/>
        <w:numPr>
          <w:ilvl w:val="0"/>
          <w:numId w:val="1064"/>
        </w:numPr>
      </w:pPr>
      <w:r>
        <w:t xml:space="preserve">comparar implementación con spec;</w:t>
      </w:r>
    </w:p>
    <w:p>
      <w:pPr>
        <w:pStyle w:val="Compact"/>
        <w:numPr>
          <w:ilvl w:val="0"/>
          <w:numId w:val="1064"/>
        </w:numPr>
      </w:pPr>
      <w:r>
        <w:t xml:space="preserve">identificar edge cases;</w:t>
      </w:r>
    </w:p>
    <w:p>
      <w:pPr>
        <w:pStyle w:val="Compact"/>
        <w:numPr>
          <w:ilvl w:val="0"/>
          <w:numId w:val="1064"/>
        </w:numPr>
      </w:pPr>
      <w:r>
        <w:t xml:space="preserve">revisar diff y tests;</w:t>
      </w:r>
    </w:p>
    <w:p>
      <w:pPr>
        <w:pStyle w:val="Compact"/>
        <w:numPr>
          <w:ilvl w:val="0"/>
          <w:numId w:val="1064"/>
        </w:numPr>
      </w:pPr>
      <w:r>
        <w:t xml:space="preserve">emitir comentarios accionables.</w:t>
      </w:r>
    </w:p>
    <w:bookmarkEnd w:id="147"/>
    <w:bookmarkStart w:id="148" w:name="railway"/>
    <w:p>
      <w:pPr>
        <w:pStyle w:val="Heading3"/>
        <w:keepNext/>
        <w:widowControl/>
      </w:pPr>
      <w:r>
        <w:t xml:space="preserve">Railway</w:t>
      </w:r>
    </w:p>
    <w:p>
      <w:pPr>
        <w:pStyle w:val="Compact"/>
        <w:numPr>
          <w:ilvl w:val="0"/>
          <w:numId w:val="1065"/>
        </w:numPr>
      </w:pPr>
      <w:r>
        <w:t xml:space="preserve">deploy, variables, Postgres, networking, logs, metrics y healthchecks;</w:t>
      </w:r>
    </w:p>
    <w:p>
      <w:pPr>
        <w:pStyle w:val="Compact"/>
        <w:numPr>
          <w:ilvl w:val="0"/>
          <w:numId w:val="1065"/>
        </w:numPr>
      </w:pPr>
      <w:r>
        <w:t xml:space="preserve">no usar como agente de razonamiento prolongado.</w:t>
      </w:r>
    </w:p>
    <w:bookmarkEnd w:id="148"/>
    <w:bookmarkStart w:id="149" w:name="githubvercel"/>
    <w:p>
      <w:pPr>
        <w:pStyle w:val="Heading3"/>
        <w:keepNext/>
        <w:widowControl/>
      </w:pPr>
      <w:r>
        <w:t xml:space="preserve">GitHub/Vercel</w:t>
      </w:r>
    </w:p>
    <w:p>
      <w:pPr>
        <w:pStyle w:val="Compact"/>
        <w:numPr>
          <w:ilvl w:val="0"/>
          <w:numId w:val="1066"/>
        </w:numPr>
      </w:pPr>
      <w:r>
        <w:t xml:space="preserve">GitHub es la fuente verificable de cambios;</w:t>
      </w:r>
    </w:p>
    <w:p>
      <w:pPr>
        <w:pStyle w:val="Compact"/>
        <w:numPr>
          <w:ilvl w:val="0"/>
          <w:numId w:val="1066"/>
        </w:numPr>
      </w:pPr>
      <w:r>
        <w:t xml:space="preserve">Vercel preview es evidencia visual antes de integración.</w:t>
      </w:r>
    </w:p>
    <w:bookmarkEnd w:id="149"/>
    <w:bookmarkEnd w:id="150"/>
    <w:bookmarkStart w:id="151" w:name="regla-de-entrega"/>
    <w:p>
      <w:pPr>
        <w:pStyle w:val="Heading2"/>
        <w:keepNext/>
        <w:widowControl/>
      </w:pPr>
      <w:r>
        <w:t xml:space="preserve">22.2 Regla de entrega</w:t>
      </w:r>
    </w:p>
    <w:p>
      <w:pPr>
        <w:pStyle w:val="FirstParagraph"/>
      </w:pPr>
      <w:r>
        <w:t xml:space="preserve">Para tareas de código,</w:t>
      </w:r>
      <w:r>
        <w:t xml:space="preserve"> </w:t>
      </w:r>
      <w:r>
        <w:rPr>
          <w:b/>
          <w:bCs/>
        </w:rPr>
        <w:t xml:space="preserve">no aceptar código pegado en chat ni ZIP como sustituto</w:t>
      </w:r>
      <w:r>
        <w:t xml:space="preserve">. La entrega válida incluye rama, commit, push, PR, logs, preview y QA visual. Los módulos standalone deben abrirse y revisarse visualmente antes de integrarse.</w:t>
      </w:r>
    </w:p>
    <w:bookmarkEnd w:id="151"/>
    <w:bookmarkStart w:id="152" w:name="prompt-operativo-maestro"/>
    <w:p>
      <w:pPr>
        <w:pStyle w:val="Heading2"/>
        <w:keepNext/>
        <w:widowControl/>
      </w:pPr>
      <w:r>
        <w:t xml:space="preserve">22.3 Prompt operativo maestro</w:t>
      </w:r>
    </w:p>
    <w:p>
      <w:pPr>
        <w:pStyle w:val="SourceCode"/>
        <w:spacing w:before="80" w:after="120"/>
        <w:shd w:fill="F1F5F9"/>
      </w:pPr>
      <w:r>
        <w:rPr>
          <w:rStyle w:val="VerbatimChar"/>
          <w:rFonts w:ascii="Cascadia Mono" w:hAnsi="Cascadia Mono"/>
          <w:color w:val="0F172A"/>
          <w:sz w:val="15"/>
        </w:rPr>
        <w:t xml:space="preserve">Actúa como Principal Engineer de Escaparates Pro.</w:t>
      </w:r>
      <w:r>
        <w:rPr>
          <w:rFonts w:ascii="Cascadia Mono" w:hAnsi="Cascadia Mono"/>
          <w:color w:val="0F172A"/>
          <w:sz w:val="15"/>
        </w:rPr>
        <w:br/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Repositorio: Juanmaes83/escaparates-pro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Rama base: master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Antes de cambiar nada: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1. identifica el SHA de master;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2. lee Enterprise Master Specification v2, current-state, ADRs y contratos;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3. confirma que el working tree está limpio;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4. crea agent/&lt;epic-id&gt;-&lt;slug&gt;.</w:t>
      </w:r>
      <w:r>
        <w:rPr>
          <w:rFonts w:ascii="Cascadia Mono" w:hAnsi="Cascadia Mono"/>
          <w:color w:val="0F172A"/>
          <w:sz w:val="15"/>
        </w:rPr>
        <w:br/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Implementa una sola microfase. No amplíes scope ni reescribas el editor.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Todo recurso SaaS pertenece a un workspace. Autorización, cuotas y entitlements son server-side.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Los pagos sólo cambian acceso por webhooks verificados e idempotentes.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No guardes refresh tokens o secretos legibles por JavaScript.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No publiques el editor, URLs firmadas persistentes ni JavaScript arbitrario de usuario.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No ejecutes migraciones automáticamente en start.</w:t>
      </w:r>
      <w:r>
        <w:rPr>
          <w:rFonts w:ascii="Cascadia Mono" w:hAnsi="Cascadia Mono"/>
          <w:color w:val="0F172A"/>
          <w:sz w:val="15"/>
        </w:rPr>
        <w:br/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Entrega mediante GitHub real: rama, commits, push y PR. Incluye tests, migraciones,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OpenAPI/schemas, documentación, logs, preview y QA visual desktop/tablet/móvil.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No uses texto o ZIP como sustituto de la implementación.</w:t>
      </w:r>
      <w:r>
        <w:rPr>
          <w:rFonts w:ascii="Cascadia Mono" w:hAnsi="Cascadia Mono"/>
          <w:color w:val="0F172A"/>
          <w:sz w:val="15"/>
        </w:rPr>
        <w:br/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Detalla: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- objetivo y no-goals;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- archivos modificados;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- decisiones y trade-offs;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- tests positivos/negativos;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- seguridad/tenant/plan;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- deploy y rollback;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- riesgos residuales;</w:t>
      </w:r>
      <w:r>
        <w:rPr>
          <w:rFonts w:ascii="Cascadia Mono" w:hAnsi="Cascadia Mono"/>
          <w:color w:val="0F172A"/>
          <w:sz w:val="15"/>
        </w:rPr>
        <w:br/>
      </w:r>
      <w:r>
        <w:rPr>
          <w:rStyle w:val="VerbatimChar"/>
          <w:rFonts w:ascii="Cascadia Mono" w:hAnsi="Cascadia Mono"/>
          <w:color w:val="0F172A"/>
          <w:sz w:val="15"/>
        </w:rPr>
        <w:t xml:space="preserve">- siguiente microfase recomendada.</w:t>
      </w:r>
    </w:p>
    <w:p>
      <w:pPr>
        <w:pStyle w:val="FirstParagraph"/>
      </w:pPr>
      <w:r>
        <w:t xml:space="preserve">La plantilla completa se entrega en</w:t>
      </w:r>
      <w:r>
        <w:t xml:space="preserve"> </w:t>
      </w:r>
      <w:r>
        <w:rPr>
          <w:rStyle w:val="VerbatimChar"/>
        </w:rPr>
        <w:t xml:space="preserve">templates/agent-task-template.md</w:t>
      </w:r>
      <w:r>
        <w:t xml:space="preserve">.</w:t>
      </w:r>
    </w:p>
    <w:bookmarkEnd w:id="152"/>
    <w:bookmarkEnd w:id="153"/>
    <w:bookmarkStart w:id="159" w:name="modelo-de-datos-objetivo"/>
    <w:p>
      <w:pPr>
        <w:pStyle w:val="Heading1"/>
        <w:keepNext/>
        <w:widowControl/>
        <w:pageBreakBefore/>
      </w:pPr>
      <w:r>
        <w:br w:type="page"/>
      </w:r>
      <w:r>
        <w:t xml:space="preserve">23. Modelo de datos objetivo</w:t>
      </w:r>
    </w:p>
    <w:bookmarkStart w:id="154" w:name="identidad-y-tenant"/>
    <w:p>
      <w:pPr>
        <w:pStyle w:val="Heading2"/>
        <w:keepNext/>
        <w:widowControl/>
        <w:pageBreakBefore/>
      </w:pPr>
      <w:r>
        <w:br w:type="page"/>
      </w:r>
      <w:r>
        <w:t xml:space="preserve">23.1 Identidad y tenant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235"/>
        <w:gridCol w:w="3013"/>
        <w:gridCol w:w="4471"/>
      </w:tblGrid>
      <w:tr>
        <w:trPr>
          <w:tblHeader w:val="on"/>
          <w:tblHeader w:val="true"/>
          <w:cantSplit/>
        </w:trP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Tabla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Propósito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Restricciones clave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users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Identidad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email normalizado unique, verification state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credentials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Password/providers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hash versionado, no secretos en claro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sessions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Sesiones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token family, hash, rotation, revoked_at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workspaces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Tenant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slug unique, owner no equivale a único acceso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workspace_members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Membresía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role enum, status, invited_by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workspace_invites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Invitaciones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token hash, expiry, single use</w:t>
            </w:r>
          </w:p>
        </w:tc>
      </w:tr>
    </w:tbl>
    <w:bookmarkEnd w:id="154"/>
    <w:bookmarkStart w:id="155" w:name="producto"/>
    <w:p>
      <w:pPr>
        <w:pStyle w:val="Heading2"/>
        <w:keepNext/>
        <w:widowControl/>
        <w:pageBreakBefore/>
      </w:pPr>
      <w:r>
        <w:br w:type="page"/>
      </w:r>
      <w:r>
        <w:t xml:space="preserve">23.2 Producto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235"/>
        <w:gridCol w:w="3013"/>
        <w:gridCol w:w="4471"/>
      </w:tblGrid>
      <w:tr>
        <w:trPr>
          <w:tblHeader w:val="on"/>
          <w:tblHeader w:val="true"/>
          <w:cantSplit/>
        </w:trP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Tabla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Propósito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Restricciones clave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projects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Metadata y current revision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workspace scoped, soft delete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project_documents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Snapshot actual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schema_version, revision unique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project_versions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Historia inmutable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6"/>
              </w:rPr>
              <w:t xml:space="preserve">(project_id, version_number)</w:t>
            </w:r>
            <w:r>
              <w:rPr>
                <w:rFonts w:ascii="Aptos" w:hAnsi="Aptos"/>
                <w:color w:val="1E293B"/>
                <w:sz w:val="16"/>
              </w:rPr>
              <w:t xml:space="preserve"> </w:t>
            </w:r>
            <w:r>
              <w:rPr>
                <w:rFonts w:ascii="Aptos" w:hAnsi="Aptos"/>
                <w:color w:val="1E293B"/>
                <w:sz w:val="16"/>
              </w:rPr>
              <w:t xml:space="preserve">unique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presets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Config reusable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workspace/public/provenance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module_manifests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Registry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Style w:val="VerbatimChar"/>
                <w:rFonts w:ascii="Aptos" w:hAnsi="Aptos"/>
                <w:color w:val="1E293B"/>
                <w:sz w:val="16"/>
              </w:rPr>
              <w:t xml:space="preserve">(module_id, version)</w:t>
            </w:r>
            <w:r>
              <w:rPr>
                <w:rFonts w:ascii="Aptos" w:hAnsi="Aptos"/>
                <w:color w:val="1E293B"/>
                <w:sz w:val="16"/>
              </w:rPr>
              <w:t xml:space="preserve"> </w:t>
            </w:r>
            <w:r>
              <w:rPr>
                <w:rFonts w:ascii="Aptos" w:hAnsi="Aptos"/>
                <w:color w:val="1E293B"/>
                <w:sz w:val="16"/>
              </w:rPr>
              <w:t xml:space="preserve">unique, content hash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templates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Duplicables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source version y rights</w:t>
            </w:r>
          </w:p>
        </w:tc>
      </w:tr>
    </w:tbl>
    <w:bookmarkEnd w:id="155"/>
    <w:bookmarkStart w:id="156" w:name="assets-y-delivery"/>
    <w:p>
      <w:pPr>
        <w:pStyle w:val="Heading2"/>
        <w:keepNext/>
        <w:widowControl/>
        <w:pageBreakBefore/>
      </w:pPr>
      <w:r>
        <w:br w:type="page"/>
      </w:r>
      <w:r>
        <w:t xml:space="preserve">23.3 Assets y delivery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235"/>
        <w:gridCol w:w="3013"/>
        <w:gridCol w:w="4471"/>
      </w:tblGrid>
      <w:tr>
        <w:trPr>
          <w:tblHeader w:val="on"/>
          <w:tblHeader w:val="true"/>
          <w:cantSplit/>
        </w:trP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Tabla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Propósito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Restricciones clave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assets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Metadata/lifecycle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workspace, status, storage key unique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asset_variants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Thumbnails/transcodes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source asset, profile unique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asset_usages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Referencias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evita borrar asset usado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publishes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URL estable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current release, revoked_at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publish_releases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Release inmutable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content hash unique por publish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embed_policies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Origins/sandbox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policy versionada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exports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Solicitud e historial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idempotency, entitlement snapshot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export_jobs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Worker state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retry, lease, timeout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export_artifacts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Files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checksum, retention, size</w:t>
            </w:r>
          </w:p>
        </w:tc>
      </w:tr>
    </w:tbl>
    <w:bookmarkEnd w:id="156"/>
    <w:bookmarkStart w:id="157" w:name="billing-y-control"/>
    <w:p>
      <w:pPr>
        <w:pStyle w:val="Heading2"/>
        <w:keepNext/>
        <w:widowControl/>
        <w:pageBreakBefore/>
      </w:pPr>
      <w:r>
        <w:br w:type="page"/>
      </w:r>
      <w:r>
        <w:t xml:space="preserve">23.4 Billing y control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235"/>
        <w:gridCol w:w="3013"/>
        <w:gridCol w:w="4471"/>
      </w:tblGrid>
      <w:tr>
        <w:trPr>
          <w:tblHeader w:val="on"/>
          <w:tblHeader w:val="true"/>
          <w:cantSplit/>
        </w:trP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Tabla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Propósito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Restricciones clave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plan_versions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Catálogo comercial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inmutable tras vigencia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features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Feature keys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stable semantic keys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plan_entitlements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Quotas/features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typed values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billing_customers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Mapping proveedor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provider/customer unique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subscriptions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Projection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provider subscription unique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webhook_events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Inbox idempotente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provider event unique, raw hash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entitlement_snapshots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Acceso efectivo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version, source, computed_at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credit_accounts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Cuenta por workspace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una currency/unidad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credit_transactions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Ledger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append-only, idempotency unique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credit_reservations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Reserva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expiry y terminal state</w:t>
            </w:r>
          </w:p>
        </w:tc>
      </w:tr>
      <w:tr>
        <w:tc>
          <w:tcPr>
            <w:tcW w:type="dxa" w:w="223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reconciliation_runs</w:t>
            </w:r>
          </w:p>
        </w:tc>
        <w:tc>
          <w:tcPr>
            <w:tcW w:type="dxa" w:w="301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Control</w:t>
            </w:r>
          </w:p>
        </w:tc>
        <w:tc>
          <w:tcPr>
            <w:tcW w:type="dxa" w:w="447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discrepancy counts</w:t>
            </w:r>
          </w:p>
        </w:tc>
      </w:tr>
    </w:tbl>
    <w:bookmarkEnd w:id="157"/>
    <w:bookmarkStart w:id="158" w:name="trust-analytics-y-ai"/>
    <w:p>
      <w:pPr>
        <w:pStyle w:val="Heading2"/>
        <w:keepNext/>
        <w:widowControl/>
        <w:pageBreakBefore/>
      </w:pPr>
      <w:r>
        <w:br w:type="page"/>
      </w:r>
      <w:r>
        <w:t xml:space="preserve">23.5 Trust, analytics y AI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304"/>
        <w:gridCol w:w="6415"/>
      </w:tblGrid>
      <w:tr>
        <w:trPr>
          <w:tblHeader w:val="on"/>
          <w:tblHeader w:val="true"/>
          <w:cantSplit/>
        </w:trPr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Tabla</w:t>
            </w:r>
          </w:p>
        </w:tc>
        <w:tc>
          <w:tcPr>
            <w:tcW w:type="dxa" w:w="641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Propósito</w:t>
            </w:r>
          </w:p>
        </w:tc>
      </w:tr>
      <w:tr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legal_documents / legal_acceptances</w:t>
            </w:r>
          </w:p>
        </w:tc>
        <w:tc>
          <w:tcPr>
            <w:tcW w:type="dxa" w:w="641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Contratos versionados y evidencia</w:t>
            </w:r>
          </w:p>
        </w:tc>
      </w:tr>
      <w:tr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consent_records</w:t>
            </w:r>
          </w:p>
        </w:tc>
        <w:tc>
          <w:tcPr>
            <w:tcW w:type="dxa" w:w="641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Consentimiento por propósito</w:t>
            </w:r>
          </w:p>
        </w:tc>
      </w:tr>
      <w:tr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audit_logs</w:t>
            </w:r>
          </w:p>
        </w:tc>
        <w:tc>
          <w:tcPr>
            <w:tcW w:type="dxa" w:w="641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Acciones administrativas y de producto</w:t>
            </w:r>
          </w:p>
        </w:tc>
      </w:tr>
      <w:tr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security_events</w:t>
            </w:r>
          </w:p>
        </w:tc>
        <w:tc>
          <w:tcPr>
            <w:tcW w:type="dxa" w:w="641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Auth, abuse y incidentes</w:t>
            </w:r>
          </w:p>
        </w:tc>
      </w:tr>
      <w:tr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usage_events</w:t>
            </w:r>
          </w:p>
        </w:tc>
        <w:tc>
          <w:tcPr>
            <w:tcW w:type="dxa" w:w="641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Eventos append-only</w:t>
            </w:r>
          </w:p>
        </w:tc>
      </w:tr>
      <w:tr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usage_rollups</w:t>
            </w:r>
          </w:p>
        </w:tc>
        <w:tc>
          <w:tcPr>
            <w:tcW w:type="dxa" w:w="641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Dashboards/cuotas</w:t>
            </w:r>
          </w:p>
        </w:tc>
      </w:tr>
      <w:tr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outbox_events</w:t>
            </w:r>
          </w:p>
        </w:tc>
        <w:tc>
          <w:tcPr>
            <w:tcW w:type="dxa" w:w="641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Integración fiable post-transaction</w:t>
            </w:r>
          </w:p>
        </w:tc>
      </w:tr>
      <w:tr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notification_deliveries</w:t>
            </w:r>
          </w:p>
        </w:tc>
        <w:tc>
          <w:tcPr>
            <w:tcW w:type="dxa" w:w="641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Email/in-app lifecycle</w:t>
            </w:r>
          </w:p>
        </w:tc>
      </w:tr>
      <w:tr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ai_runs</w:t>
            </w:r>
          </w:p>
        </w:tc>
        <w:tc>
          <w:tcPr>
            <w:tcW w:type="dxa" w:w="641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Provider/model/prompt/cost/status</w:t>
            </w:r>
          </w:p>
        </w:tc>
      </w:tr>
      <w:tr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prompt_versions</w:t>
            </w:r>
          </w:p>
        </w:tc>
        <w:tc>
          <w:tcPr>
            <w:tcW w:type="dxa" w:w="641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Prompts versionados/evaluados</w:t>
            </w:r>
          </w:p>
        </w:tc>
      </w:tr>
      <w:tr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ai_artifacts</w:t>
            </w:r>
          </w:p>
        </w:tc>
        <w:tc>
          <w:tcPr>
            <w:tcW w:type="dxa" w:w="6415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CampaignPlans y outputs estructurados</w:t>
            </w:r>
          </w:p>
        </w:tc>
      </w:tr>
    </w:tbl>
    <w:bookmarkEnd w:id="158"/>
    <w:bookmarkEnd w:id="159"/>
    <w:bookmarkStart w:id="160" w:name="riesgos-principales"/>
    <w:p>
      <w:pPr>
        <w:pStyle w:val="Heading1"/>
        <w:keepNext/>
        <w:widowControl/>
        <w:pageBreakBefore/>
      </w:pPr>
      <w:r>
        <w:br w:type="page"/>
      </w:r>
      <w:r>
        <w:t xml:space="preserve">24. Riesgos principales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721"/>
        <w:gridCol w:w="3304"/>
        <w:gridCol w:w="3693"/>
      </w:tblGrid>
      <w:tr>
        <w:trPr>
          <w:tblHeader w:val="on"/>
          <w:tblHeader w:val="true"/>
          <w:cantSplit/>
        </w:trP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Riesgo y probabilidad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Impacto / señal temprana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Mitigación obligatoria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XSS roba sesión — Media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Crítico. Scripts o HTML dinámico con token largo accesible al navegador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Auth v2, CSP, aislamiento iframe y eliminación de refresh token en localStorage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Pago y acceso divergen — Alta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Crítico. Tickets</w:t>
            </w:r>
            <w:r>
              <w:rPr>
                <w:rFonts w:ascii="Aptos" w:hAnsi="Aptos"/>
                <w:color w:val="1E293B"/>
                <w:sz w:val="16"/>
              </w:rPr>
              <w:t xml:space="preserve"> </w:t>
            </w:r>
            <w:r>
              <w:rPr>
                <w:rFonts w:ascii="Aptos" w:hAnsi="Aptos"/>
                <w:color w:val="1E293B"/>
                <w:sz w:val="16"/>
              </w:rPr>
              <w:t xml:space="preserve">“</w:t>
            </w:r>
            <w:r>
              <w:rPr>
                <w:rFonts w:ascii="Aptos" w:hAnsi="Aptos"/>
                <w:color w:val="1E293B"/>
                <w:sz w:val="16"/>
              </w:rPr>
              <w:t xml:space="preserve">he pagado y no tengo Pro</w:t>
            </w:r>
            <w:r>
              <w:rPr>
                <w:rFonts w:ascii="Aptos" w:hAnsi="Aptos"/>
                <w:color w:val="1E293B"/>
                <w:sz w:val="16"/>
              </w:rPr>
              <w:t xml:space="preserve">”</w:t>
            </w:r>
            <w:r>
              <w:rPr>
                <w:rFonts w:ascii="Aptos" w:hAnsi="Aptos"/>
                <w:color w:val="1E293B"/>
                <w:sz w:val="16"/>
              </w:rPr>
              <w:t xml:space="preserve"> </w:t>
            </w:r>
            <w:r>
              <w:rPr>
                <w:rFonts w:ascii="Aptos" w:hAnsi="Aptos"/>
                <w:color w:val="1E293B"/>
                <w:sz w:val="16"/>
              </w:rPr>
              <w:t xml:space="preserve">o acceso tras impago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Webhooks verificados, projection interna y reconciliación diaria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Tenant leakage — Media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Crítico. Acceso por IDs directos o helpers basados sólo en owner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Middleware de workspace/membership y tests IDOR negativos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Editor se rompe al integrar — Alta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Alto. PRs extensas sobre scripts críticos y regresiones visuales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Adapters, feature flags, fixtures y visual regression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Coste 4K/IA destruye margen — Media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Alto. Uso costoso sin metering o estimación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Reserva/captura de créditos y telemetría de coste real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Publicación incluye editor — Media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Alto. Bundle enorme, rutas internas o secretos en artifacts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Compiler por allowlist y auditoría automática del release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Upload malicioso — Media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Alto. Se confía en extensión o MIME del cliente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Quarantine, magic bytes, límites y re-encode/transcode seguro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Docs contradicen código — Alta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Alto. Agentes repiten fases o implementan contratos obsoletos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Docs-as-code, current-state por commit y contract drift checks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Ambigüedad de licencia — Alta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Alto. Código adaptado sin notice o estrategia pública confusa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Provenance registry, THIRD_PARTY_NOTICES y decisión legal del repo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Producto demasiado amplio — Alta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Alto. Más módulos sin mejorar activación ni retención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Cuña inicial, release gates y no-go list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Churn de uso puntual — Alta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Alto. Export único seguido de cancelación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Projects, publish, review, templates y segundo valor en 14 días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Soporte consume al fundador — Media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Alto. Onboarding manual repetido y tickets previsibles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Onboarding productizado, help center y runbooks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Vendor lock-in IA — Media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Medio. Prompts y outputs acoplados a un proveedor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Provider abstraction, schema y evals portables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Falta de accesibilidad — Media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Medio/alto. Flujos sin teclado, pausa o reduced motion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WCAG gate, QA asistiva y fallback</w:t>
            </w:r>
          </w:p>
        </w:tc>
      </w:tr>
      <w:tr>
        <w:tc>
          <w:tcPr>
            <w:tcW w:type="dxa" w:w="2721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Migración defectuosa — Media</w:t>
            </w:r>
          </w:p>
        </w:tc>
        <w:tc>
          <w:tcPr>
            <w:tcW w:type="dxa" w:w="330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Alto. Drift, endpoint manual o rollback incierto</w:t>
            </w:r>
          </w:p>
        </w:tc>
        <w:tc>
          <w:tcPr>
            <w:tcW w:type="dxa" w:w="3693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Checksums, locks, backup, dry-run y restore drill</w:t>
            </w:r>
          </w:p>
        </w:tc>
      </w:tr>
    </w:tbl>
    <w:bookmarkEnd w:id="160"/>
    <w:bookmarkStart w:id="166" w:name="launch-gates"/>
    <w:p>
      <w:pPr>
        <w:pStyle w:val="Heading1"/>
        <w:keepNext/>
        <w:widowControl/>
        <w:pageBreakBefore/>
      </w:pPr>
      <w:r>
        <w:br w:type="page"/>
      </w:r>
      <w:r>
        <w:t xml:space="preserve">25. Launch gates</w:t>
      </w:r>
    </w:p>
    <w:bookmarkStart w:id="161" w:name="l0-internal"/>
    <w:p>
      <w:pPr>
        <w:pStyle w:val="Heading2"/>
        <w:keepNext/>
        <w:widowControl/>
      </w:pPr>
      <w:r>
        <w:t xml:space="preserve">L0 — Internal</w:t>
      </w:r>
    </w:p>
    <w:p>
      <w:pPr>
        <w:pStyle w:val="Compact"/>
        <w:numPr>
          <w:ilvl w:val="0"/>
          <w:numId w:val="1067"/>
        </w:numPr>
      </w:pPr>
      <w:r>
        <w:t xml:space="preserve">datos ficticios;</w:t>
      </w:r>
    </w:p>
    <w:p>
      <w:pPr>
        <w:pStyle w:val="Compact"/>
        <w:numPr>
          <w:ilvl w:val="0"/>
          <w:numId w:val="1067"/>
        </w:numPr>
      </w:pPr>
      <w:r>
        <w:t xml:space="preserve">no cobros;</w:t>
      </w:r>
    </w:p>
    <w:p>
      <w:pPr>
        <w:pStyle w:val="Compact"/>
        <w:numPr>
          <w:ilvl w:val="0"/>
          <w:numId w:val="1067"/>
        </w:numPr>
      </w:pPr>
      <w:r>
        <w:t xml:space="preserve">pruebas locales/staging.</w:t>
      </w:r>
    </w:p>
    <w:bookmarkEnd w:id="161"/>
    <w:bookmarkStart w:id="162" w:name="l1-private-beta"/>
    <w:p>
      <w:pPr>
        <w:pStyle w:val="Heading2"/>
        <w:keepNext/>
        <w:widowControl/>
      </w:pPr>
      <w:r>
        <w:t xml:space="preserve">L1 — Private beta</w:t>
      </w:r>
    </w:p>
    <w:p>
      <w:pPr>
        <w:pStyle w:val="Compact"/>
        <w:numPr>
          <w:ilvl w:val="0"/>
          <w:numId w:val="1068"/>
        </w:numPr>
      </w:pPr>
      <w:r>
        <w:t xml:space="preserve">usuarios invitados;</w:t>
      </w:r>
    </w:p>
    <w:p>
      <w:pPr>
        <w:pStyle w:val="Compact"/>
        <w:numPr>
          <w:ilvl w:val="0"/>
          <w:numId w:val="1068"/>
        </w:numPr>
      </w:pPr>
      <w:r>
        <w:t xml:space="preserve">auth segura;</w:t>
      </w:r>
    </w:p>
    <w:p>
      <w:pPr>
        <w:pStyle w:val="Compact"/>
        <w:numPr>
          <w:ilvl w:val="0"/>
          <w:numId w:val="1068"/>
        </w:numPr>
      </w:pPr>
      <w:r>
        <w:t xml:space="preserve">proyectos mínimos;</w:t>
      </w:r>
    </w:p>
    <w:p>
      <w:pPr>
        <w:pStyle w:val="Compact"/>
        <w:numPr>
          <w:ilvl w:val="0"/>
          <w:numId w:val="1068"/>
        </w:numPr>
      </w:pPr>
      <w:r>
        <w:t xml:space="preserve">términos beta;</w:t>
      </w:r>
    </w:p>
    <w:p>
      <w:pPr>
        <w:pStyle w:val="Compact"/>
        <w:numPr>
          <w:ilvl w:val="0"/>
          <w:numId w:val="1068"/>
        </w:numPr>
      </w:pPr>
      <w:r>
        <w:t xml:space="preserve">soporte directo;</w:t>
      </w:r>
    </w:p>
    <w:p>
      <w:pPr>
        <w:pStyle w:val="Compact"/>
        <w:numPr>
          <w:ilvl w:val="0"/>
          <w:numId w:val="1068"/>
        </w:numPr>
      </w:pPr>
      <w:r>
        <w:t xml:space="preserve">Stripe test.</w:t>
      </w:r>
    </w:p>
    <w:bookmarkEnd w:id="162"/>
    <w:bookmarkStart w:id="163" w:name="l2-paid-beta"/>
    <w:p>
      <w:pPr>
        <w:pStyle w:val="Heading2"/>
        <w:keepNext/>
        <w:widowControl/>
      </w:pPr>
      <w:r>
        <w:t xml:space="preserve">L2 — Paid beta</w:t>
      </w:r>
    </w:p>
    <w:p>
      <w:pPr>
        <w:pStyle w:val="Compact"/>
        <w:numPr>
          <w:ilvl w:val="0"/>
          <w:numId w:val="1069"/>
        </w:numPr>
      </w:pPr>
      <w:r>
        <w:t xml:space="preserve">G1 completo;</w:t>
      </w:r>
    </w:p>
    <w:p>
      <w:pPr>
        <w:pStyle w:val="Compact"/>
        <w:numPr>
          <w:ilvl w:val="0"/>
          <w:numId w:val="1069"/>
        </w:numPr>
      </w:pPr>
      <w:r>
        <w:t xml:space="preserve">mínimo G2 para guardar/reabrir;</w:t>
      </w:r>
    </w:p>
    <w:p>
      <w:pPr>
        <w:pStyle w:val="Compact"/>
        <w:numPr>
          <w:ilvl w:val="0"/>
          <w:numId w:val="1069"/>
        </w:numPr>
      </w:pPr>
      <w:r>
        <w:t xml:space="preserve">Stripe live;</w:t>
      </w:r>
    </w:p>
    <w:p>
      <w:pPr>
        <w:pStyle w:val="Compact"/>
        <w:numPr>
          <w:ilvl w:val="0"/>
          <w:numId w:val="1069"/>
        </w:numPr>
      </w:pPr>
      <w:r>
        <w:t xml:space="preserve">legal validado;</w:t>
      </w:r>
    </w:p>
    <w:p>
      <w:pPr>
        <w:pStyle w:val="Compact"/>
        <w:numPr>
          <w:ilvl w:val="0"/>
          <w:numId w:val="1069"/>
        </w:numPr>
      </w:pPr>
      <w:r>
        <w:t xml:space="preserve">invoices/tax policy;</w:t>
      </w:r>
    </w:p>
    <w:p>
      <w:pPr>
        <w:pStyle w:val="Compact"/>
        <w:numPr>
          <w:ilvl w:val="0"/>
          <w:numId w:val="1069"/>
        </w:numPr>
      </w:pPr>
      <w:r>
        <w:t xml:space="preserve">backups/alerts;</w:t>
      </w:r>
    </w:p>
    <w:p>
      <w:pPr>
        <w:pStyle w:val="Compact"/>
        <w:numPr>
          <w:ilvl w:val="0"/>
          <w:numId w:val="1069"/>
        </w:numPr>
      </w:pPr>
      <w:r>
        <w:t xml:space="preserve">5–20 clientes.</w:t>
      </w:r>
    </w:p>
    <w:bookmarkEnd w:id="163"/>
    <w:bookmarkStart w:id="164" w:name="l3-public-launch"/>
    <w:p>
      <w:pPr>
        <w:pStyle w:val="Heading2"/>
        <w:keepNext/>
        <w:widowControl/>
      </w:pPr>
      <w:r>
        <w:t xml:space="preserve">L3 — Public launch</w:t>
      </w:r>
    </w:p>
    <w:p>
      <w:pPr>
        <w:pStyle w:val="Compact"/>
        <w:numPr>
          <w:ilvl w:val="0"/>
          <w:numId w:val="1070"/>
        </w:numPr>
      </w:pPr>
      <w:r>
        <w:t xml:space="preserve">G1–G3;</w:t>
      </w:r>
    </w:p>
    <w:p>
      <w:pPr>
        <w:pStyle w:val="Compact"/>
        <w:numPr>
          <w:ilvl w:val="0"/>
          <w:numId w:val="1070"/>
        </w:numPr>
      </w:pPr>
      <w:r>
        <w:t xml:space="preserve">onboarding autoservicio;</w:t>
      </w:r>
    </w:p>
    <w:p>
      <w:pPr>
        <w:pStyle w:val="Compact"/>
        <w:numPr>
          <w:ilvl w:val="0"/>
          <w:numId w:val="1070"/>
        </w:numPr>
      </w:pPr>
      <w:r>
        <w:t xml:space="preserve">publicación estable;</w:t>
      </w:r>
    </w:p>
    <w:p>
      <w:pPr>
        <w:pStyle w:val="Compact"/>
        <w:numPr>
          <w:ilvl w:val="0"/>
          <w:numId w:val="1070"/>
        </w:numPr>
      </w:pPr>
      <w:r>
        <w:t xml:space="preserve">status/help;</w:t>
      </w:r>
    </w:p>
    <w:p>
      <w:pPr>
        <w:pStyle w:val="Compact"/>
        <w:numPr>
          <w:ilvl w:val="0"/>
          <w:numId w:val="1070"/>
        </w:numPr>
      </w:pPr>
      <w:r>
        <w:t xml:space="preserve">métricas de activación y soporte.</w:t>
      </w:r>
    </w:p>
    <w:bookmarkEnd w:id="164"/>
    <w:bookmarkStart w:id="165" w:name="l4-enterprise-sales"/>
    <w:p>
      <w:pPr>
        <w:pStyle w:val="Heading2"/>
        <w:keepNext/>
        <w:widowControl/>
      </w:pPr>
      <w:r>
        <w:t xml:space="preserve">L4 — Enterprise sales</w:t>
      </w:r>
    </w:p>
    <w:p>
      <w:pPr>
        <w:pStyle w:val="Compact"/>
        <w:numPr>
          <w:ilvl w:val="0"/>
          <w:numId w:val="1071"/>
        </w:numPr>
      </w:pPr>
      <w:r>
        <w:t xml:space="preserve">G5;</w:t>
      </w:r>
    </w:p>
    <w:p>
      <w:pPr>
        <w:pStyle w:val="Compact"/>
        <w:numPr>
          <w:ilvl w:val="0"/>
          <w:numId w:val="1071"/>
        </w:numPr>
      </w:pPr>
      <w:r>
        <w:t xml:space="preserve">audit export;</w:t>
      </w:r>
    </w:p>
    <w:p>
      <w:pPr>
        <w:pStyle w:val="Compact"/>
        <w:numPr>
          <w:ilvl w:val="0"/>
          <w:numId w:val="1071"/>
        </w:numPr>
      </w:pPr>
      <w:r>
        <w:t xml:space="preserve">security pack;</w:t>
      </w:r>
    </w:p>
    <w:p>
      <w:pPr>
        <w:pStyle w:val="Compact"/>
        <w:numPr>
          <w:ilvl w:val="0"/>
          <w:numId w:val="1071"/>
        </w:numPr>
      </w:pPr>
      <w:r>
        <w:t xml:space="preserve">support process;</w:t>
      </w:r>
    </w:p>
    <w:p>
      <w:pPr>
        <w:pStyle w:val="Compact"/>
        <w:numPr>
          <w:ilvl w:val="0"/>
          <w:numId w:val="1071"/>
        </w:numPr>
      </w:pPr>
      <w:r>
        <w:t xml:space="preserve">SLA medible;</w:t>
      </w:r>
    </w:p>
    <w:p>
      <w:pPr>
        <w:pStyle w:val="Compact"/>
        <w:numPr>
          <w:ilvl w:val="0"/>
          <w:numId w:val="1071"/>
        </w:numPr>
      </w:pPr>
      <w:r>
        <w:t xml:space="preserve">DPA/subprocessors maduros.</w:t>
      </w:r>
    </w:p>
    <w:bookmarkEnd w:id="165"/>
    <w:bookmarkEnd w:id="166"/>
    <w:bookmarkStart w:id="167" w:name="X9a3d8a3b3353ab34cc6c21dc5f63db49595ff58"/>
    <w:p>
      <w:pPr>
        <w:pStyle w:val="Heading1"/>
        <w:keepNext/>
        <w:widowControl/>
        <w:pageBreakBefore/>
      </w:pPr>
      <w:r>
        <w:br w:type="page"/>
      </w:r>
      <w:r>
        <w:t xml:space="preserve">26. Plan de adquisición de los primeros clientes</w:t>
      </w:r>
    </w:p>
    <w:p>
      <w:pPr>
        <w:pStyle w:val="Compact"/>
        <w:numPr>
          <w:ilvl w:val="0"/>
          <w:numId w:val="1072"/>
        </w:numPr>
      </w:pPr>
      <w:r>
        <w:t xml:space="preserve">Crear 12 demos excelentes, no 20 mediocres: 4 agencias, 3 ecommerce, 2 inmobiliarias, 2 hospitality/retail y 1 estudio creativo.</w:t>
      </w:r>
    </w:p>
    <w:p>
      <w:pPr>
        <w:pStyle w:val="Compact"/>
        <w:numPr>
          <w:ilvl w:val="0"/>
          <w:numId w:val="1072"/>
        </w:numPr>
      </w:pPr>
      <w:r>
        <w:t xml:space="preserve">Mostrar antes/después y tiempo real de creación.</w:t>
      </w:r>
    </w:p>
    <w:p>
      <w:pPr>
        <w:pStyle w:val="Compact"/>
        <w:numPr>
          <w:ilvl w:val="0"/>
          <w:numId w:val="1072"/>
        </w:numPr>
      </w:pPr>
      <w:r>
        <w:t xml:space="preserve">Ofrecer founder cohort limitada: Pro a precio reducido durante 3–6 meses, sin lifetime.</w:t>
      </w:r>
    </w:p>
    <w:p>
      <w:pPr>
        <w:pStyle w:val="Compact"/>
        <w:numPr>
          <w:ilvl w:val="0"/>
          <w:numId w:val="1072"/>
        </w:numPr>
      </w:pPr>
      <w:r>
        <w:t xml:space="preserve">Onboarding concierge para aprender, pero instrumentado.</w:t>
      </w:r>
    </w:p>
    <w:p>
      <w:pPr>
        <w:pStyle w:val="Compact"/>
        <w:numPr>
          <w:ilvl w:val="0"/>
          <w:numId w:val="1072"/>
        </w:numPr>
      </w:pPr>
      <w:r>
        <w:t xml:space="preserve">Entrevista después del primer valor y día 14.</w:t>
      </w:r>
    </w:p>
    <w:p>
      <w:pPr>
        <w:pStyle w:val="Compact"/>
        <w:numPr>
          <w:ilvl w:val="0"/>
          <w:numId w:val="1072"/>
        </w:numPr>
      </w:pPr>
      <w:r>
        <w:t xml:space="preserve">Convertir cada resultado validado en template y caso de uso.</w:t>
      </w:r>
    </w:p>
    <w:p>
      <w:pPr>
        <w:pStyle w:val="FirstParagraph"/>
      </w:pPr>
      <w:r>
        <w:t xml:space="preserve">Objetivos de 30 días paid beta:</w:t>
      </w:r>
    </w:p>
    <w:p>
      <w:pPr>
        <w:pStyle w:val="Compact"/>
        <w:numPr>
          <w:ilvl w:val="0"/>
          <w:numId w:val="1073"/>
        </w:numPr>
      </w:pPr>
      <w:r>
        <w:t xml:space="preserve">10 workspaces de pago;</w:t>
      </w:r>
    </w:p>
    <w:p>
      <w:pPr>
        <w:pStyle w:val="Compact"/>
        <w:numPr>
          <w:ilvl w:val="0"/>
          <w:numId w:val="1073"/>
        </w:numPr>
      </w:pPr>
      <w:r>
        <w:t xml:space="preserve">70% activados;</w:t>
      </w:r>
    </w:p>
    <w:p>
      <w:pPr>
        <w:pStyle w:val="Compact"/>
        <w:numPr>
          <w:ilvl w:val="0"/>
          <w:numId w:val="1073"/>
        </w:numPr>
      </w:pPr>
      <w:r>
        <w:t xml:space="preserve">60% consigue segundo valor en 14 días;</w:t>
      </w:r>
    </w:p>
    <w:p>
      <w:pPr>
        <w:pStyle w:val="Compact"/>
        <w:numPr>
          <w:ilvl w:val="0"/>
          <w:numId w:val="1073"/>
        </w:numPr>
      </w:pPr>
      <w:r>
        <w:t xml:space="preserve">5 publicaciones/embeds reales;</w:t>
      </w:r>
    </w:p>
    <w:p>
      <w:pPr>
        <w:pStyle w:val="Compact"/>
        <w:numPr>
          <w:ilvl w:val="0"/>
          <w:numId w:val="1073"/>
        </w:numPr>
      </w:pPr>
      <w:r>
        <w:t xml:space="preserve">menos de 30 min de soporte medio por workspace/semana;</w:t>
      </w:r>
    </w:p>
    <w:p>
      <w:pPr>
        <w:pStyle w:val="Compact"/>
        <w:numPr>
          <w:ilvl w:val="0"/>
          <w:numId w:val="1073"/>
        </w:numPr>
      </w:pPr>
      <w:r>
        <w:t xml:space="preserve">cero incidentes P0 y cero divergencias de billing sin resolver.</w:t>
      </w:r>
    </w:p>
    <w:bookmarkEnd w:id="167"/>
    <w:bookmarkStart w:id="168" w:name="backlog-de-decisiones-pendientes"/>
    <w:p>
      <w:pPr>
        <w:pStyle w:val="Heading1"/>
        <w:keepNext/>
        <w:widowControl/>
        <w:pageBreakBefore/>
      </w:pPr>
      <w:r>
        <w:br w:type="page"/>
      </w:r>
      <w:r>
        <w:t xml:space="preserve">27. Backlog de decisiones pendientes</w:t>
      </w:r>
    </w:p>
    <w:tbl>
      <w:tblPr>
        <w:tblStyle w:val="Table"/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818"/>
        <w:gridCol w:w="2624"/>
        <w:gridCol w:w="4276"/>
      </w:tblGrid>
      <w:tr>
        <w:trPr>
          <w:tblHeader w:val="on"/>
          <w:tblHeader w:val="true"/>
          <w:cantSplit/>
        </w:trPr>
        <w:tc>
          <w:tcPr>
            <w:tcW w:type="dxa" w:w="28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Decisión</w:t>
            </w:r>
          </w:p>
        </w:tc>
        <w:tc>
          <w:tcPr>
            <w:tcW w:type="dxa" w:w="26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Owner y deadline</w:t>
            </w:r>
          </w:p>
        </w:tc>
        <w:tc>
          <w:tcPr>
            <w:tcW w:type="dxa" w:w="42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0B1736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b/>
                <w:color w:val="FFFFFF"/>
                <w:sz w:val="16"/>
              </w:rPr>
              <w:t xml:space="preserve">Criterio de cierre</w:t>
            </w:r>
          </w:p>
        </w:tc>
      </w:tr>
      <w:tr>
        <w:tc>
          <w:tcPr>
            <w:tcW w:type="dxa" w:w="28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Dominio final y boundary same-site</w:t>
            </w:r>
          </w:p>
        </w:tc>
        <w:tc>
          <w:tcPr>
            <w:tcW w:type="dxa" w:w="26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Producto/Ingeniería — G1</w:t>
            </w:r>
          </w:p>
        </w:tc>
        <w:tc>
          <w:tcPr>
            <w:tcW w:type="dxa" w:w="42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Permite cookies seguras, CORS simple y marca consistente</w:t>
            </w:r>
          </w:p>
        </w:tc>
      </w:tr>
      <w:tr>
        <w:tc>
          <w:tcPr>
            <w:tcW w:type="dxa" w:w="28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Repo private, proprietary u open-core</w:t>
            </w:r>
          </w:p>
        </w:tc>
        <w:tc>
          <w:tcPr>
            <w:tcW w:type="dxa" w:w="26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Producto/Legal — G1</w:t>
            </w:r>
          </w:p>
        </w:tc>
        <w:tc>
          <w:tcPr>
            <w:tcW w:type="dxa" w:w="42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Protege el activo y deja notices/licencias sin ambigüedad</w:t>
            </w:r>
          </w:p>
        </w:tc>
      </w:tr>
      <w:tr>
        <w:tc>
          <w:tcPr>
            <w:tcW w:type="dxa" w:w="28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 a 39 o 49 €</w:t>
            </w:r>
          </w:p>
        </w:tc>
        <w:tc>
          <w:tcPr>
            <w:tcW w:type="dxa" w:w="26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Producto — paid beta</w:t>
            </w:r>
          </w:p>
        </w:tc>
        <w:tc>
          <w:tcPr>
            <w:tcW w:type="dxa" w:w="42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Entrevistas, disposición a pagar y margen esperado</w:t>
            </w:r>
          </w:p>
        </w:tc>
      </w:tr>
      <w:tr>
        <w:tc>
          <w:tcPr>
            <w:tcW w:type="dxa" w:w="28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Activar plan Creator</w:t>
            </w:r>
          </w:p>
        </w:tc>
        <w:tc>
          <w:tcPr>
            <w:tcW w:type="dxa" w:w="26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Producto — después de 50–100 pagos</w:t>
            </w:r>
          </w:p>
        </w:tc>
        <w:tc>
          <w:tcPr>
            <w:tcW w:type="dxa" w:w="42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Evidencia de un gap real entre Free y Pro</w:t>
            </w:r>
          </w:p>
        </w:tc>
      </w:tr>
      <w:tr>
        <w:tc>
          <w:tcPr>
            <w:tcW w:type="dxa" w:w="28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Storage provider</w:t>
            </w:r>
          </w:p>
        </w:tc>
        <w:tc>
          <w:tcPr>
            <w:tcW w:type="dxa" w:w="26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Ingeniería — G3</w:t>
            </w:r>
          </w:p>
        </w:tc>
        <w:tc>
          <w:tcPr>
            <w:tcW w:type="dxa" w:w="42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Coste total, egress, signed URLs, región y DPA</w:t>
            </w:r>
          </w:p>
        </w:tc>
      </w:tr>
      <w:tr>
        <w:tc>
          <w:tcPr>
            <w:tcW w:type="dxa" w:w="28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Email provider</w:t>
            </w:r>
          </w:p>
        </w:tc>
        <w:tc>
          <w:tcPr>
            <w:tcW w:type="dxa" w:w="26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Ingeniería — G1</w:t>
            </w:r>
          </w:p>
        </w:tc>
        <w:tc>
          <w:tcPr>
            <w:tcW w:type="dxa" w:w="42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Deliverability, webhooks, DPA y coste</w:t>
            </w:r>
          </w:p>
        </w:tc>
      </w:tr>
      <w:tr>
        <w:tc>
          <w:tcPr>
            <w:tcW w:type="dxa" w:w="28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Analytics vendor o self-host</w:t>
            </w:r>
          </w:p>
        </w:tc>
        <w:tc>
          <w:tcPr>
            <w:tcW w:type="dxa" w:w="26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Producto/Privacy — G3</w:t>
            </w:r>
          </w:p>
        </w:tc>
        <w:tc>
          <w:tcPr>
            <w:tcW w:type="dxa" w:w="42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Consentimiento, minimización y coste operativo</w:t>
            </w:r>
          </w:p>
        </w:tc>
      </w:tr>
      <w:tr>
        <w:tc>
          <w:tcPr>
            <w:tcW w:type="dxa" w:w="28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Tecnología del worker</w:t>
            </w:r>
          </w:p>
        </w:tc>
        <w:tc>
          <w:tcPr>
            <w:tcW w:type="dxa" w:w="26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Ingeniería — G4</w:t>
            </w:r>
          </w:p>
        </w:tc>
        <w:tc>
          <w:tcPr>
            <w:tcW w:type="dxa" w:w="42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Carga medida y necesidad demostrada</w:t>
            </w:r>
          </w:p>
        </w:tc>
      </w:tr>
      <w:tr>
        <w:tc>
          <w:tcPr>
            <w:tcW w:type="dxa" w:w="28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Proveedor(es) de IA</w:t>
            </w:r>
          </w:p>
        </w:tc>
        <w:tc>
          <w:tcPr>
            <w:tcW w:type="dxa" w:w="26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Producto/Ingeniería — G6</w:t>
            </w:r>
          </w:p>
        </w:tc>
        <w:tc>
          <w:tcPr>
            <w:tcW w:type="dxa" w:w="42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FFFFF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Calidad, coste, DPA, retención y portability</w:t>
            </w:r>
          </w:p>
        </w:tc>
      </w:tr>
      <w:tr>
        <w:tc>
          <w:tcPr>
            <w:tcW w:type="dxa" w:w="2818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Venta a consumidores</w:t>
            </w:r>
          </w:p>
        </w:tc>
        <w:tc>
          <w:tcPr>
            <w:tcW w:type="dxa" w:w="2624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Producto/Legal — antes de public launch</w:t>
            </w:r>
          </w:p>
        </w:tc>
        <w:tc>
          <w:tcPr>
            <w:tcW w:type="dxa" w:w="4276"/>
            <w:vAlign w:val="top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</w:tcPr>
          <w:p>
            <w:pPr>
              <w:pStyle w:val="Compact"/>
              <w:widowControl/>
              <w:spacing w:before="0" w:after="30" w:line="240" w:lineRule="auto"/>
              <w:jc w:val="left"/>
            </w:pPr>
            <w:r>
              <w:rPr>
                <w:rFonts w:ascii="Aptos" w:hAnsi="Aptos"/>
                <w:color w:val="1E293B"/>
                <w:sz w:val="16"/>
              </w:rPr>
              <w:t xml:space="preserve">Derechos digitales, desistimiento, impuestos y soporte</w:t>
            </w:r>
          </w:p>
        </w:tc>
      </w:tr>
    </w:tbl>
    <w:bookmarkEnd w:id="168"/>
    <w:bookmarkStart w:id="171" w:name="evidencia-y-fuentes"/>
    <w:p>
      <w:pPr>
        <w:pStyle w:val="Heading1"/>
        <w:keepNext/>
        <w:widowControl/>
        <w:pageBreakBefore/>
      </w:pPr>
      <w:r>
        <w:br w:type="page"/>
      </w:r>
      <w:r>
        <w:t xml:space="preserve">28. Evidencia y fuentes</w:t>
      </w:r>
    </w:p>
    <w:bookmarkStart w:id="169" w:name="fuentes-del-proyecto"/>
    <w:p>
      <w:pPr>
        <w:pStyle w:val="Heading2"/>
        <w:keepNext/>
        <w:widowControl/>
      </w:pPr>
      <w:r>
        <w:t xml:space="preserve">Fuentes del proyecto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[B1]</w:t>
      </w:r>
      <w:r>
        <w:t xml:space="preserve"> </w:t>
      </w:r>
      <w:r>
        <w:t xml:space="preserve">Documento Maestro — Escaparates Pro v1.0, 35 páginas. Objetivo, estrategia, pricing, roadmap y prompt original.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[G1]</w:t>
      </w:r>
      <w:r>
        <w:t xml:space="preserve"> </w:t>
      </w:r>
      <w:r>
        <w:t xml:space="preserve">GitHub repository metadata:</w:t>
      </w:r>
      <w:r>
        <w:t xml:space="preserve"> </w:t>
      </w:r>
      <w:r>
        <w:rPr>
          <w:rStyle w:val="VerbatimChar"/>
        </w:rPr>
        <w:t xml:space="preserve">Juanmaes83/escaparates-pro</w:t>
      </w:r>
      <w:r>
        <w:t xml:space="preserve">, default branch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, audited 14-07-2026.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[G2]</w:t>
      </w:r>
      <w:r>
        <w:t xml:space="preserve"> </w:t>
      </w:r>
      <w:r>
        <w:t xml:space="preserve">PR #11,</w:t>
      </w:r>
      <w:r>
        <w:t xml:space="preserve"> </w:t>
      </w:r>
      <w:r>
        <w:t xml:space="preserve">“</w:t>
      </w:r>
      <w:r>
        <w:t xml:space="preserve">Frontend Auth Gate + Plan Enforcement</w:t>
      </w:r>
      <w:r>
        <w:t xml:space="preserve">”</w:t>
      </w:r>
      <w:r>
        <w:t xml:space="preserve">, merged at commit</w:t>
      </w:r>
      <w:r>
        <w:t xml:space="preserve"> </w:t>
      </w:r>
      <w:r>
        <w:rPr>
          <w:rStyle w:val="VerbatimChar"/>
        </w:rPr>
        <w:t xml:space="preserve">cc3a8002...</w:t>
      </w:r>
      <w:r>
        <w:t xml:space="preserve">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[G3]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at audited baseline: product catalog, auth/billing endpoints and local-only publish limitation.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[G4]</w:t>
      </w:r>
      <w:r>
        <w:t xml:space="preserve"> </w:t>
      </w:r>
      <w:r>
        <w:rPr>
          <w:rStyle w:val="VerbatimChar"/>
        </w:rPr>
        <w:t xml:space="preserve">js/auth-client.js</w:t>
      </w:r>
      <w:r>
        <w:t xml:space="preserve">:</w:t>
      </w:r>
      <w:r>
        <w:t xml:space="preserve"> </w:t>
      </w:r>
      <w:r>
        <w:rPr>
          <w:rStyle w:val="VerbatimChar"/>
        </w:rPr>
        <w:t xml:space="preserve">ep.refreshToken</w:t>
      </w:r>
      <w:r>
        <w:t xml:space="preserve"> </w:t>
      </w:r>
      <w:r>
        <w:t xml:space="preserve">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and sent as Bearer.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[G5]</w:t>
      </w:r>
      <w:r>
        <w:t xml:space="preserve"> </w:t>
      </w:r>
      <w:r>
        <w:rPr>
          <w:rStyle w:val="VerbatimChar"/>
        </w:rPr>
        <w:t xml:space="preserve">js/plan-gate.js</w:t>
      </w:r>
      <w:r>
        <w:t xml:space="preserve">: Demo/Free/Pro policies and client-side validation.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[G6]</w:t>
      </w:r>
      <w:r>
        <w:t xml:space="preserve"> </w:t>
      </w:r>
      <w:r>
        <w:rPr>
          <w:rStyle w:val="VerbatimChar"/>
        </w:rPr>
        <w:t xml:space="preserve">apps/api/src/routes/billing.ts</w:t>
      </w:r>
      <w:r>
        <w:t xml:space="preserve">: single Pro Checkout, optional client URLs, no webhook.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[G7]</w:t>
      </w:r>
      <w:r>
        <w:t xml:space="preserve"> </w:t>
      </w:r>
      <w:r>
        <w:rPr>
          <w:rStyle w:val="VerbatimChar"/>
        </w:rPr>
        <w:t xml:space="preserve">apps/api/src/db/schema.ts</w:t>
      </w:r>
      <w:r>
        <w:t xml:space="preserve">: current tables and denormalized billing fields.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[G8]</w:t>
      </w:r>
      <w:r>
        <w:t xml:space="preserve"> </w:t>
      </w:r>
      <w:r>
        <w:rPr>
          <w:rStyle w:val="VerbatimChar"/>
        </w:rPr>
        <w:t xml:space="preserve">apps/api/src/app.ts</w:t>
      </w:r>
      <w:r>
        <w:t xml:space="preserve">: Helmet, CORS, global rate limit and registered routes.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[G9]</w:t>
      </w:r>
      <w:r>
        <w:t xml:space="preserve"> </w:t>
      </w:r>
      <w:r>
        <w:rPr>
          <w:rStyle w:val="VerbatimChar"/>
        </w:rPr>
        <w:t xml:space="preserve">.github/workflows/api-ci.yml</w:t>
      </w:r>
      <w:r>
        <w:t xml:space="preserve">: typecheck/build without test execution.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[G10]</w:t>
      </w:r>
      <w:r>
        <w:t xml:space="preserve"> </w:t>
      </w:r>
      <w:r>
        <w:rPr>
          <w:rStyle w:val="VerbatimChar"/>
        </w:rPr>
        <w:t xml:space="preserve">apps/api/src/routes/auth.ts</w:t>
      </w:r>
      <w:r>
        <w:t xml:space="preserve">: register/login/me/logout and session creation.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[G11]</w:t>
      </w:r>
      <w:r>
        <w:t xml:space="preserve"> </w:t>
      </w:r>
      <w:r>
        <w:rPr>
          <w:rStyle w:val="VerbatimChar"/>
        </w:rPr>
        <w:t xml:space="preserve">apps/api/src/lib/workspace-defaults.ts</w:t>
      </w:r>
      <w:r>
        <w:t xml:space="preserve">: primary workspace by owner and default membership.</w:t>
      </w:r>
    </w:p>
    <w:bookmarkEnd w:id="169"/>
    <w:bookmarkStart w:id="170" w:name="X0f1359b48a5017c647f9b4489c91dc48f652dff"/>
    <w:p>
      <w:pPr>
        <w:pStyle w:val="Heading2"/>
        <w:keepNext/>
        <w:widowControl/>
      </w:pPr>
      <w:r>
        <w:t xml:space="preserve">Fuentes oficiales y benchmarks (consultadas 14-07-2026)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[O1]</w:t>
      </w:r>
      <w:r>
        <w:t xml:space="preserve"> </w:t>
      </w:r>
      <w:r>
        <w:t xml:space="preserve">Stripe Docs,</w:t>
      </w:r>
      <w:r>
        <w:t xml:space="preserve"> </w:t>
      </w:r>
      <w:r>
        <w:t xml:space="preserve">“</w:t>
      </w:r>
      <w:r>
        <w:t xml:space="preserve">Using webhooks with subscriptions</w:t>
      </w:r>
      <w:r>
        <w:t xml:space="preserve">”</w:t>
      </w:r>
      <w:r>
        <w:t xml:space="preserve">: https://docs.stripe.com/billing/subscriptions/webhooks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[O2]</w:t>
      </w:r>
      <w:r>
        <w:t xml:space="preserve"> </w:t>
      </w:r>
      <w:r>
        <w:t xml:space="preserve">Stripe Docs,</w:t>
      </w:r>
      <w:r>
        <w:t xml:space="preserve"> </w:t>
      </w:r>
      <w:r>
        <w:t xml:space="preserve">“</w:t>
      </w:r>
      <w:r>
        <w:t xml:space="preserve">Basic usage-based billing / Metronome</w:t>
      </w:r>
      <w:r>
        <w:t xml:space="preserve">”</w:t>
      </w:r>
      <w:r>
        <w:t xml:space="preserve">: https://docs.stripe.com/billing/subscriptions/usage-based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[O3]</w:t>
      </w:r>
      <w:r>
        <w:t xml:space="preserve"> </w:t>
      </w:r>
      <w:r>
        <w:t xml:space="preserve">OWASP ASVS: https://owasp.org/www-project-application-security-verification-standard/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[O4]</w:t>
      </w:r>
      <w:r>
        <w:t xml:space="preserve"> </w:t>
      </w:r>
      <w:r>
        <w:t xml:space="preserve">OWASP File Upload Cheat Sheet: https://cheatsheetseries.owasp.org/cheatsheets/File_Upload_Cheat_Sheet.html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[O5]</w:t>
      </w:r>
      <w:r>
        <w:t xml:space="preserve"> </w:t>
      </w:r>
      <w:r>
        <w:t xml:space="preserve">W3C WCAG 2.2: https://www.w3.org/TR/WCAG22/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[O6]</w:t>
      </w:r>
      <w:r>
        <w:t xml:space="preserve"> </w:t>
      </w:r>
      <w:r>
        <w:t xml:space="preserve">Reglamento (UE) 2024/1689 — AI Act: https://eur-lex.europa.eu/eli/reg/2024/1689/oj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[L1]</w:t>
      </w:r>
      <w:r>
        <w:t xml:space="preserve"> </w:t>
      </w:r>
      <w:r>
        <w:t xml:space="preserve">BOE, Ley 34/2002 de servicios de la sociedad de la información: https://www.boe.es/buscar/act.php?id=BOE-A-2002-13758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[L2]</w:t>
      </w:r>
      <w:r>
        <w:t xml:space="preserve"> </w:t>
      </w:r>
      <w:r>
        <w:t xml:space="preserve">BOE, Real Decreto Legislativo 1/2007, consumidores y usuarios: https://www.boe.es/buscar/act.php?id=BOE-A-2007-20555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[L3]</w:t>
      </w:r>
      <w:r>
        <w:t xml:space="preserve"> </w:t>
      </w:r>
      <w:r>
        <w:t xml:space="preserve">Reglamento General de Protección de Datos: https://eur-lex.europa.eu/eli/reg/2016/679/oj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[L4]</w:t>
      </w:r>
      <w:r>
        <w:t xml:space="preserve"> </w:t>
      </w:r>
      <w:r>
        <w:t xml:space="preserve">AEPD, Guía sobre el uso de las cookies: https://www.aepd.es/guias/guia-cookies.pdf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[M1]</w:t>
      </w:r>
      <w:r>
        <w:t xml:space="preserve"> </w:t>
      </w:r>
      <w:r>
        <w:t xml:space="preserve">Spline Pricing: https://spline.design/pricing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[M2]</w:t>
      </w:r>
      <w:r>
        <w:t xml:space="preserve"> </w:t>
      </w:r>
      <w:r>
        <w:t xml:space="preserve">Webflow Pricing: https://webflow.com/pricing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[S1]</w:t>
      </w:r>
      <w:r>
        <w:t xml:space="preserve"> </w:t>
      </w:r>
      <w:r>
        <w:t xml:space="preserve">GitHub CodeQL: https://docs.github.com/en/code-security/concepts/code-scanning/codeql/codeql-cli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[S2]</w:t>
      </w:r>
      <w:r>
        <w:t xml:space="preserve"> </w:t>
      </w:r>
      <w:r>
        <w:t xml:space="preserve">GitHub Dependency Graph: https://docs.github.com/en/code-security/concepts/supply-chain-security/dependency-graph</w:t>
      </w:r>
    </w:p>
    <w:bookmarkEnd w:id="170"/>
    <w:bookmarkEnd w:id="171"/>
    <w:bookmarkStart w:id="172" w:name="conclusión-ejecutiva"/>
    <w:p>
      <w:pPr>
        <w:pStyle w:val="Heading1"/>
        <w:keepNext/>
        <w:widowControl/>
        <w:pageBreakBefore/>
      </w:pPr>
      <w:r>
        <w:br w:type="page"/>
      </w:r>
      <w:r>
        <w:t xml:space="preserve">29. Conclusión ejecutiva</w:t>
      </w:r>
    </w:p>
    <w:p>
      <w:pPr>
        <w:pStyle w:val="FirstParagraph"/>
      </w:pPr>
      <w:r>
        <w:t xml:space="preserve">Escaparates Pro posee un activo visual difícil de replicar y una foundation técnica que ya ha superado la fase de</w:t>
      </w:r>
      <w:r>
        <w:t xml:space="preserve"> </w:t>
      </w:r>
      <w:r>
        <w:t xml:space="preserve">“</w:t>
      </w:r>
      <w:r>
        <w:t xml:space="preserve">idea</w:t>
      </w:r>
      <w:r>
        <w:t xml:space="preserve">”</w:t>
      </w:r>
      <w:r>
        <w:t xml:space="preserve">. El error ahora sería seguir añadiendo amplitud sin cerrar identidad, billing, persistencia, delivery y trust.</w:t>
      </w:r>
    </w:p>
    <w:p>
      <w:pPr>
        <w:pStyle w:val="BodyText"/>
      </w:pPr>
      <w:r>
        <w:t xml:space="preserve">La estrategia correcta es:</w:t>
      </w:r>
    </w:p>
    <w:p>
      <w:pPr>
        <w:pStyle w:val="Compact"/>
        <w:numPr>
          <w:ilvl w:val="0"/>
          <w:numId w:val="1076"/>
        </w:numPr>
      </w:pPr>
      <w:r>
        <w:t xml:space="preserve">congelar una fuente de verdad auditada;</w:t>
      </w:r>
    </w:p>
    <w:p>
      <w:pPr>
        <w:pStyle w:val="Compact"/>
        <w:numPr>
          <w:ilvl w:val="0"/>
          <w:numId w:val="1076"/>
        </w:numPr>
      </w:pPr>
      <w:r>
        <w:t xml:space="preserve">asegurar sesión, billing y entitlements;</w:t>
      </w:r>
    </w:p>
    <w:p>
      <w:pPr>
        <w:pStyle w:val="Compact"/>
        <w:numPr>
          <w:ilvl w:val="0"/>
          <w:numId w:val="1076"/>
        </w:numPr>
      </w:pPr>
      <w:r>
        <w:t xml:space="preserve">convertir el estado visual en ProjectDocument persistente;</w:t>
      </w:r>
    </w:p>
    <w:p>
      <w:pPr>
        <w:pStyle w:val="Compact"/>
        <w:numPr>
          <w:ilvl w:val="0"/>
          <w:numId w:val="1076"/>
        </w:numPr>
      </w:pPr>
      <w:r>
        <w:t xml:space="preserve">mover assets a storage privado;</w:t>
      </w:r>
    </w:p>
    <w:p>
      <w:pPr>
        <w:pStyle w:val="Compact"/>
        <w:numPr>
          <w:ilvl w:val="0"/>
          <w:numId w:val="1076"/>
        </w:numPr>
      </w:pPr>
      <w:r>
        <w:t xml:space="preserve">compilar releases deterministas y revocables;</w:t>
      </w:r>
    </w:p>
    <w:p>
      <w:pPr>
        <w:pStyle w:val="Compact"/>
        <w:numPr>
          <w:ilvl w:val="0"/>
          <w:numId w:val="1076"/>
        </w:numPr>
      </w:pPr>
      <w:r>
        <w:t xml:space="preserve">medir coste, valor y retención;</w:t>
      </w:r>
    </w:p>
    <w:p>
      <w:pPr>
        <w:pStyle w:val="Compact"/>
        <w:numPr>
          <w:ilvl w:val="0"/>
          <w:numId w:val="1076"/>
        </w:numPr>
      </w:pPr>
      <w:r>
        <w:t xml:space="preserve">incorporar colaboración;</w:t>
      </w:r>
    </w:p>
    <w:p>
      <w:pPr>
        <w:pStyle w:val="Compact"/>
        <w:numPr>
          <w:ilvl w:val="0"/>
          <w:numId w:val="1076"/>
        </w:numPr>
      </w:pPr>
      <w:r>
        <w:t xml:space="preserve">añadir IA sólo cuando el sistema pueda validar, compilar y cobrar sus resultados.</w:t>
      </w:r>
    </w:p>
    <w:p>
      <w:pPr>
        <w:pStyle w:val="FirstParagraph"/>
      </w:pPr>
      <w:r>
        <w:t xml:space="preserve">El objetivo de excelencia no es parecer una empresa de Silicon Valley. Es operar con la claridad, los contratos, la evidencia y los gates que permiten a un equipo pequeño —humano y asistido por IA— construir un SaaS fiable sin caer en un prototipo infinito.</w:t>
      </w:r>
    </w:p>
    <w:bookmarkEnd w:id="172"/>
    <w:sectPr w:rsidR="00FC693F" w:rsidRPr="0006063C" w:rsidSect="00034616">
      <w:headerReference r:id="rId9" w:type="default"/>
      <w:footerReference r:id="rId10" w:type="default"/>
      <w:pgSz w:h="16838" w:w="11906"/>
      <w:pgMar w:bottom="879" w:footer="720" w:gutter="0" w:header="720" w:left="992" w:right="992" w:top="935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 xml:space="preserve">CONFIDENCIAL  ·  14 JUL 2026  ·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ESCAPARATES PRO  |  ENTERPRISE MASTER SPECIFICATION v2.0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Aptos" w:eastAsia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after="80" w:before="20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0B1736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14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563EB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40"/>
      <w:outlineLvl w:val="2"/>
    </w:pPr>
    <w:rPr>
      <w:rFonts w:ascii="Aptos" w:asciiTheme="majorHAnsi" w:cstheme="majorBidi" w:eastAsiaTheme="majorEastAsia" w:hAnsi="Aptos" w:hAnsiTheme="majorHAnsi"/>
      <w:b/>
      <w:bCs/>
      <w:color w:val="0B1736"/>
      <w:sz w:val="23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40"/>
      <w:outlineLvl w:val="3"/>
    </w:pPr>
    <w:rPr>
      <w:rFonts w:ascii="Aptos" w:asciiTheme="majorHAnsi" w:cstheme="majorBidi" w:eastAsiaTheme="majorEastAsia" w:hAnsi="Aptos" w:hAnsiTheme="majorHAnsi"/>
      <w:b/>
      <w:bCs/>
      <w:i/>
      <w:iCs/>
      <w:color w:val="475569"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0B1736"/>
      <w:spacing w:val="5"/>
      <w:kern w:val="28"/>
      <w:sz w:val="6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ptos" w:asciiTheme="majorHAnsi" w:cstheme="majorBidi" w:eastAsiaTheme="majorEastAsia" w:hAnsi="Aptos" w:hAnsiTheme="majorHAnsi"/>
      <w:i/>
      <w:iCs/>
      <w:color w:val="2563EB"/>
      <w:spacing w:val="15"/>
      <w:sz w:val="30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475569"/>
      <w:sz w:val="16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rPr>
      <w:rFonts w:ascii="Aptos" w:hAnsi="Aptos"/>
      <w:sz w:val="16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pPr>
      <w:ind w:left="340" w:right="340"/>
    </w:pPr>
    <w:rPr>
      <w:rFonts w:ascii="Aptos" w:hAnsi="Aptos"/>
      <w:color w:val="475569"/>
      <w:sz w:val="18"/>
    </w:rPr>
  </w:style>
  <w:style w:customStyle="1" w:styleId="SourceCode" w:type="paragraph">
    <w:name w:val="Source Code"/>
    <w:pPr>
      <w:spacing w:after="120" w:before="80"/>
      <w:ind w:left="255"/>
    </w:pPr>
    <w:rPr>
      <w:rFonts w:ascii="Cascadia Mono" w:hAnsi="Cascadia Mono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54" Type="http://schemas.openxmlformats.org/officeDocument/2006/relationships/image" Target="media/rId54.png"/><Relationship Id="rId97" Type="http://schemas.openxmlformats.org/officeDocument/2006/relationships/image" Target="media/rId97.png"/><Relationship Id="rId20" Type="http://schemas.openxmlformats.org/officeDocument/2006/relationships/image" Target="media/rId20.png"/><Relationship Id="rId25" Type="http://schemas.openxmlformats.org/officeDocument/2006/relationships/image" Target="media/rId25.png"/><Relationship Id="rId89" Type="http://schemas.openxmlformats.org/officeDocument/2006/relationships/image" Target="media/rId89.png"/><Relationship Id="rId130" Type="http://schemas.openxmlformats.org/officeDocument/2006/relationships/image" Target="media/rId1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Escaparates Pro — Enterprise Master Specification v2.0</dc:title>
  <dc:creator>Juan Manuel Espinosa Galant</dc:creator>
  <cp:keywords>Escaparates Pro, SaaS, architecture, Codex, Claude, GitHub, Stripe, security</cp:keywords>
  <dcterms:created xsi:type="dcterms:W3CDTF">2026-07-14T10:49:52Z</dcterms:created>
  <dcterms:modified xsi:type="dcterms:W3CDTF">2026-07-14T10:49:52Z</dcterms:modified>
  <dc:subject>Producto, arquitectura, seguridad, billing, IA, legal y roadmap ejecutable</dc:subject>
  <dc:description>Audited baseline: master @ cc3a8002, 14 July 2026.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