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34" w:rsidRDefault="00800034" w:rsidP="00800034">
      <w:pPr>
        <w:spacing w:after="992" w:line="270" w:lineRule="auto"/>
        <w:ind w:left="2804" w:right="0" w:firstLine="0"/>
        <w:jc w:val="center"/>
      </w:pPr>
      <w:r>
        <w:rPr>
          <w:rFonts w:ascii="Calibri" w:eastAsia="Calibri" w:hAnsi="Calibri" w:cs="Calibri"/>
          <w:b/>
        </w:rPr>
        <w:t>SUBSECRETARÍA DE EDUCACIÓN SUPERIOR TECNOLOGICO NACIONAL DE MEXICO</w:t>
      </w:r>
    </w:p>
    <w:p w:rsidR="00800034" w:rsidRDefault="00800034" w:rsidP="00800034">
      <w:pPr>
        <w:spacing w:after="237" w:line="240" w:lineRule="auto"/>
        <w:ind w:left="0" w:right="0" w:firstLine="0"/>
        <w:jc w:val="center"/>
        <w:rPr>
          <w:rFonts w:ascii="Calibri" w:eastAsia="Calibri" w:hAnsi="Calibri" w:cs="Calibri"/>
          <w:sz w:val="36"/>
          <w:vertAlign w:val="superscri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261723F" wp14:editId="5F68AD62">
            <wp:simplePos x="0" y="0"/>
            <wp:positionH relativeFrom="column">
              <wp:posOffset>-797356</wp:posOffset>
            </wp:positionH>
            <wp:positionV relativeFrom="paragraph">
              <wp:posOffset>-1084731</wp:posOffset>
            </wp:positionV>
            <wp:extent cx="2497836" cy="1075944"/>
            <wp:effectExtent l="0" t="0" r="0" b="0"/>
            <wp:wrapSquare wrapText="bothSides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836" cy="1075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034" w:rsidRDefault="00800034" w:rsidP="00800034">
      <w:pPr>
        <w:spacing w:after="237" w:line="240" w:lineRule="auto"/>
        <w:ind w:left="0" w:right="0" w:firstLine="0"/>
        <w:jc w:val="center"/>
      </w:pPr>
      <w:r>
        <w:rPr>
          <w:rFonts w:ascii="Calibri" w:eastAsia="Calibri" w:hAnsi="Calibri" w:cs="Calibri"/>
          <w:b/>
          <w:color w:val="323E4F"/>
          <w:sz w:val="36"/>
        </w:rPr>
        <w:t>TECNOLÓGICO NACIONAL DE MÉXICO</w:t>
      </w:r>
    </w:p>
    <w:p w:rsidR="00800034" w:rsidRDefault="00800034" w:rsidP="00800034">
      <w:pPr>
        <w:spacing w:after="15" w:line="240" w:lineRule="auto"/>
        <w:ind w:left="0" w:right="0" w:firstLine="0"/>
        <w:jc w:val="center"/>
      </w:pPr>
      <w:r>
        <w:rPr>
          <w:rFonts w:ascii="Calibri" w:eastAsia="Calibri" w:hAnsi="Calibri" w:cs="Calibri"/>
          <w:b/>
          <w:color w:val="FF0000"/>
          <w:sz w:val="28"/>
        </w:rPr>
        <w:t>Instituto Tecnológico de Pabellón de Arteaga</w:t>
      </w:r>
    </w:p>
    <w:p w:rsidR="00800034" w:rsidRDefault="00800034" w:rsidP="00800034">
      <w:pPr>
        <w:spacing w:after="0" w:line="240" w:lineRule="auto"/>
        <w:ind w:left="0" w:right="2603" w:firstLine="0"/>
        <w:jc w:val="center"/>
      </w:pPr>
    </w:p>
    <w:p w:rsidR="00800034" w:rsidRDefault="00800034" w:rsidP="00800034">
      <w:pPr>
        <w:spacing w:after="297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position w:val="-140"/>
        </w:rPr>
        <w:drawing>
          <wp:inline distT="0" distB="0" distL="0" distR="0" wp14:anchorId="4DD061EA" wp14:editId="4E493BA1">
            <wp:extent cx="3124200" cy="1161288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4" w:rsidRDefault="00800034" w:rsidP="00800034">
      <w:pPr>
        <w:spacing w:after="316" w:line="240" w:lineRule="auto"/>
        <w:ind w:left="0" w:right="0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:rsidR="00800034" w:rsidRDefault="00800034" w:rsidP="00800034">
      <w:pPr>
        <w:spacing w:after="309" w:line="240" w:lineRule="auto"/>
        <w:ind w:left="10"/>
        <w:jc w:val="center"/>
      </w:pPr>
      <w:r>
        <w:rPr>
          <w:rFonts w:ascii="Calibri" w:eastAsia="Calibri" w:hAnsi="Calibri" w:cs="Calibri"/>
          <w:b/>
          <w:color w:val="FF0000"/>
          <w:sz w:val="56"/>
        </w:rPr>
        <w:t>Unidad 3</w:t>
      </w:r>
    </w:p>
    <w:p w:rsidR="00800034" w:rsidRDefault="00800034" w:rsidP="00800034">
      <w:pPr>
        <w:spacing w:after="309" w:line="240" w:lineRule="auto"/>
        <w:ind w:left="10"/>
        <w:jc w:val="center"/>
      </w:pPr>
      <w:r>
        <w:rPr>
          <w:rFonts w:ascii="Calibri" w:eastAsia="Calibri" w:hAnsi="Calibri" w:cs="Calibri"/>
          <w:b/>
          <w:color w:val="FF0000"/>
          <w:sz w:val="56"/>
        </w:rPr>
        <w:t>Lectura 5</w:t>
      </w:r>
    </w:p>
    <w:p w:rsidR="00800034" w:rsidRDefault="00800034" w:rsidP="00800034">
      <w:pPr>
        <w:spacing w:after="44" w:line="240" w:lineRule="auto"/>
        <w:ind w:left="0" w:right="0" w:firstLine="0"/>
        <w:jc w:val="center"/>
      </w:pPr>
      <w:r>
        <w:rPr>
          <w:rFonts w:ascii="Calibri" w:eastAsia="Calibri" w:hAnsi="Calibri" w:cs="Calibri"/>
          <w:b/>
          <w:sz w:val="48"/>
        </w:rPr>
        <w:t xml:space="preserve"> </w:t>
      </w:r>
    </w:p>
    <w:p w:rsidR="00800034" w:rsidRDefault="00800034" w:rsidP="00800034">
      <w:pPr>
        <w:spacing w:after="98" w:line="240" w:lineRule="auto"/>
        <w:ind w:left="108" w:right="0" w:firstLine="0"/>
        <w:jc w:val="left"/>
      </w:pPr>
      <w:r>
        <w:rPr>
          <w:rFonts w:ascii="Calibri" w:eastAsia="Calibri" w:hAnsi="Calibri" w:cs="Calibri"/>
          <w:b/>
          <w:color w:val="44546A"/>
          <w:sz w:val="28"/>
        </w:rPr>
        <w:t xml:space="preserve"> </w:t>
      </w:r>
    </w:p>
    <w:p w:rsidR="00800034" w:rsidRDefault="00800034" w:rsidP="00800034">
      <w:pPr>
        <w:spacing w:after="102" w:line="240" w:lineRule="auto"/>
        <w:ind w:left="0" w:right="0" w:firstLine="0"/>
        <w:jc w:val="center"/>
      </w:pPr>
      <w:r>
        <w:rPr>
          <w:rFonts w:ascii="Calibri" w:eastAsia="Calibri" w:hAnsi="Calibri" w:cs="Calibri"/>
          <w:b/>
          <w:sz w:val="56"/>
        </w:rPr>
        <w:t xml:space="preserve">Presenta: </w:t>
      </w:r>
    </w:p>
    <w:p w:rsidR="00800034" w:rsidRDefault="00800034" w:rsidP="00800034">
      <w:pPr>
        <w:spacing w:after="8" w:line="249" w:lineRule="auto"/>
        <w:ind w:left="3368" w:right="0" w:hanging="2331"/>
        <w:jc w:val="left"/>
      </w:pPr>
      <w:r>
        <w:rPr>
          <w:rFonts w:ascii="Calibri" w:eastAsia="Calibri" w:hAnsi="Calibri" w:cs="Calibri"/>
          <w:b/>
          <w:color w:val="323E4F"/>
          <w:sz w:val="56"/>
        </w:rPr>
        <w:t xml:space="preserve">Juan Ignacio Ornelas Carreón </w:t>
      </w:r>
      <w:r>
        <w:rPr>
          <w:rFonts w:ascii="Calibri" w:eastAsia="Calibri" w:hAnsi="Calibri" w:cs="Calibri"/>
          <w:b/>
          <w:sz w:val="56"/>
        </w:rPr>
        <w:t xml:space="preserve">Docente: </w:t>
      </w:r>
    </w:p>
    <w:p w:rsidR="00800034" w:rsidRDefault="00800034" w:rsidP="00800034">
      <w:pPr>
        <w:spacing w:after="31" w:line="240" w:lineRule="auto"/>
        <w:ind w:left="1104" w:right="0" w:firstLine="0"/>
        <w:jc w:val="left"/>
      </w:pPr>
      <w:r>
        <w:rPr>
          <w:b/>
          <w:sz w:val="56"/>
        </w:rPr>
        <w:t xml:space="preserve">Eduardo Flores Gallegos </w:t>
      </w:r>
    </w:p>
    <w:p w:rsidR="006A0601" w:rsidRDefault="006A0601"/>
    <w:p w:rsidR="00084B4D" w:rsidRDefault="00084B4D"/>
    <w:p w:rsidR="00084B4D" w:rsidRDefault="00084B4D"/>
    <w:p w:rsidR="00084B4D" w:rsidRPr="00EF12C4" w:rsidRDefault="00084B4D" w:rsidP="00EF12C4">
      <w:pPr>
        <w:ind w:left="-15" w:firstLine="0"/>
        <w:rPr>
          <w:color w:val="auto"/>
          <w:sz w:val="24"/>
          <w:szCs w:val="24"/>
        </w:rPr>
      </w:pPr>
      <w:r w:rsidRPr="00EF12C4">
        <w:rPr>
          <w:color w:val="auto"/>
          <w:sz w:val="24"/>
          <w:szCs w:val="24"/>
        </w:rPr>
        <w:lastRenderedPageBreak/>
        <w:t>El arquitecto de software como un ser visionario</w:t>
      </w:r>
    </w:p>
    <w:p w:rsidR="00084B4D" w:rsidRPr="00EF12C4" w:rsidRDefault="00084B4D" w:rsidP="00EF12C4">
      <w:pPr>
        <w:ind w:left="-15" w:firstLine="0"/>
        <w:rPr>
          <w:color w:val="auto"/>
        </w:rPr>
      </w:pPr>
      <w:r w:rsidRPr="00EF12C4">
        <w:rPr>
          <w:color w:val="auto"/>
        </w:rPr>
        <w:t xml:space="preserve">En el siguiente documento se explica como una visión poética en algunas veces se ve obligado a tomar un arquitecto de software. </w:t>
      </w:r>
    </w:p>
    <w:p w:rsidR="00084B4D" w:rsidRPr="00EF12C4" w:rsidRDefault="00084B4D" w:rsidP="00EF12C4">
      <w:pPr>
        <w:ind w:left="-15" w:firstLine="0"/>
        <w:rPr>
          <w:color w:val="auto"/>
        </w:rPr>
      </w:pPr>
      <w:r w:rsidRPr="00EF12C4">
        <w:rPr>
          <w:color w:val="auto"/>
        </w:rPr>
        <w:t xml:space="preserve">Un visionario se refiere a una persona que es capaz de tomar una idea y llevarlo a la </w:t>
      </w:r>
      <w:r w:rsidR="00EF12C4" w:rsidRPr="00EF12C4">
        <w:rPr>
          <w:color w:val="auto"/>
        </w:rPr>
        <w:t>práctica</w:t>
      </w:r>
      <w:r w:rsidRPr="00EF12C4">
        <w:rPr>
          <w:color w:val="auto"/>
        </w:rPr>
        <w:t>.</w:t>
      </w:r>
    </w:p>
    <w:p w:rsidR="00084B4D" w:rsidRPr="00EF12C4" w:rsidRDefault="00084B4D" w:rsidP="00EF12C4">
      <w:pPr>
        <w:ind w:left="-15" w:firstLine="0"/>
        <w:rPr>
          <w:color w:val="auto"/>
          <w:sz w:val="24"/>
          <w:szCs w:val="24"/>
        </w:rPr>
      </w:pPr>
      <w:r w:rsidRPr="00EF12C4">
        <w:rPr>
          <w:color w:val="auto"/>
          <w:sz w:val="24"/>
          <w:szCs w:val="24"/>
        </w:rPr>
        <w:t>Un visionario</w:t>
      </w:r>
    </w:p>
    <w:p w:rsidR="00084B4D" w:rsidRPr="00EF12C4" w:rsidRDefault="00084B4D" w:rsidP="00EF12C4">
      <w:pPr>
        <w:ind w:left="-15" w:firstLine="0"/>
        <w:rPr>
          <w:color w:val="auto"/>
        </w:rPr>
      </w:pPr>
      <w:r w:rsidRPr="00EF12C4">
        <w:rPr>
          <w:color w:val="auto"/>
        </w:rPr>
        <w:t>Un visionario que sin lugar a dudas fue u gran ejemplo es  </w:t>
      </w:r>
      <w:hyperlink r:id="rId7" w:tgtFrame="_blank" w:history="1">
        <w:r w:rsidRPr="00EF12C4">
          <w:rPr>
            <w:rStyle w:val="Hipervnculo"/>
            <w:color w:val="auto"/>
            <w:u w:val="none"/>
          </w:rPr>
          <w:t>Galileo Galilei</w:t>
        </w:r>
      </w:hyperlink>
      <w:r w:rsidRPr="00EF12C4">
        <w:rPr>
          <w:color w:val="auto"/>
        </w:rPr>
        <w:t>. Luego de su retractación forzada sobre la veracidad de la teoría </w:t>
      </w:r>
      <w:hyperlink r:id="rId8" w:tgtFrame="_blank" w:history="1">
        <w:r w:rsidRPr="00EF12C4">
          <w:rPr>
            <w:rStyle w:val="Hipervnculo"/>
            <w:color w:val="auto"/>
            <w:u w:val="none"/>
          </w:rPr>
          <w:t>Copernicana</w:t>
        </w:r>
      </w:hyperlink>
      <w:r w:rsidRPr="00EF12C4">
        <w:rPr>
          <w:color w:val="auto"/>
        </w:rPr>
        <w:drawing>
          <wp:inline distT="0" distB="0" distL="0" distR="0" wp14:anchorId="0067AB43" wp14:editId="2421EA9B">
            <wp:extent cx="66675" cy="76200"/>
            <wp:effectExtent l="0" t="0" r="9525" b="0"/>
            <wp:docPr id="1" name="Imagen 1" descr=" (external lin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(external link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2C4">
        <w:rPr>
          <w:color w:val="auto"/>
        </w:rPr>
        <w:t> del </w:t>
      </w:r>
      <w:hyperlink r:id="rId10" w:tgtFrame="_blank" w:history="1">
        <w:r w:rsidRPr="00EF12C4">
          <w:rPr>
            <w:rStyle w:val="Hipervnculo"/>
            <w:color w:val="auto"/>
            <w:u w:val="none"/>
          </w:rPr>
          <w:t>Heliocentrismo</w:t>
        </w:r>
      </w:hyperlink>
      <w:r w:rsidRPr="00EF12C4">
        <w:rPr>
          <w:color w:val="auto"/>
        </w:rPr>
        <w:t>.</w:t>
      </w:r>
    </w:p>
    <w:p w:rsidR="00084B4D" w:rsidRPr="00EF12C4" w:rsidRDefault="00084B4D" w:rsidP="00EF12C4">
      <w:pPr>
        <w:ind w:left="-15" w:firstLine="0"/>
        <w:rPr>
          <w:color w:val="auto"/>
        </w:rPr>
      </w:pPr>
      <w:r w:rsidRPr="00EF12C4">
        <w:rPr>
          <w:color w:val="auto"/>
        </w:rPr>
        <w:t xml:space="preserve">Al igual que también </w:t>
      </w:r>
      <w:r w:rsidR="00EF12C4" w:rsidRPr="00EF12C4">
        <w:rPr>
          <w:color w:val="auto"/>
        </w:rPr>
        <w:t>tuvo</w:t>
      </w:r>
      <w:r w:rsidRPr="00EF12C4">
        <w:rPr>
          <w:color w:val="auto"/>
        </w:rPr>
        <w:t xml:space="preserve"> que salir adelante con una visión muy implica tomar algo que se encuentra en el plano ideal.</w:t>
      </w:r>
    </w:p>
    <w:p w:rsidR="00084B4D" w:rsidRPr="00EF12C4" w:rsidRDefault="00084B4D" w:rsidP="00EF12C4">
      <w:pPr>
        <w:ind w:left="-15" w:firstLine="0"/>
        <w:rPr>
          <w:color w:val="auto"/>
          <w:sz w:val="24"/>
        </w:rPr>
      </w:pPr>
      <w:r w:rsidRPr="00EF12C4">
        <w:rPr>
          <w:color w:val="auto"/>
          <w:sz w:val="24"/>
        </w:rPr>
        <w:t>La visión</w:t>
      </w:r>
    </w:p>
    <w:p w:rsidR="00084B4D" w:rsidRPr="00EF12C4" w:rsidRDefault="00084B4D" w:rsidP="00EF12C4">
      <w:pPr>
        <w:ind w:left="-15" w:firstLine="0"/>
        <w:rPr>
          <w:color w:val="auto"/>
        </w:rPr>
      </w:pPr>
      <w:r w:rsidRPr="00EF12C4">
        <w:rPr>
          <w:color w:val="auto"/>
        </w:rPr>
        <w:t>Un ejemplo de una visión de una empresa se trata de todas aquellas bases axiomáticas que conforman la visión tienden a doblarse</w:t>
      </w:r>
      <w:r w:rsidR="00EF12C4" w:rsidRPr="00EF12C4">
        <w:rPr>
          <w:color w:val="auto"/>
        </w:rPr>
        <w:t>, al igual que el mantener una visión no implica cumplir a rajatabla los axiomas sin la menor noción de instinto de supervivencia.</w:t>
      </w:r>
    </w:p>
    <w:p w:rsidR="00EF12C4" w:rsidRPr="00EF12C4" w:rsidRDefault="00EF12C4" w:rsidP="00EF12C4">
      <w:pPr>
        <w:ind w:left="-15" w:firstLine="0"/>
        <w:rPr>
          <w:color w:val="auto"/>
        </w:rPr>
      </w:pPr>
      <w:r w:rsidRPr="00EF12C4">
        <w:rPr>
          <w:color w:val="auto"/>
        </w:rPr>
        <w:t xml:space="preserve"> Una manera de mostrar la realidad de la visión, es de que quién quiera llevar adelante una visión tiene que, primero que nada, sobrevivir para que se haga realidad.</w:t>
      </w:r>
    </w:p>
    <w:p w:rsidR="00EF12C4" w:rsidRPr="00EF12C4" w:rsidRDefault="00EF12C4" w:rsidP="00EF12C4">
      <w:pPr>
        <w:ind w:left="-15" w:firstLine="0"/>
        <w:rPr>
          <w:color w:val="auto"/>
        </w:rPr>
      </w:pPr>
      <w:r w:rsidRPr="00EF12C4">
        <w:rPr>
          <w:color w:val="auto"/>
        </w:rPr>
        <w:t>Pero cuando la visión es real, nunca permitirá que se quiebren.</w:t>
      </w:r>
    </w:p>
    <w:p w:rsidR="00EF12C4" w:rsidRPr="00EF12C4" w:rsidRDefault="00EF12C4" w:rsidP="00EF12C4">
      <w:pPr>
        <w:ind w:left="-15" w:firstLine="0"/>
        <w:rPr>
          <w:color w:val="auto"/>
          <w:sz w:val="24"/>
        </w:rPr>
      </w:pPr>
      <w:r w:rsidRPr="00EF12C4">
        <w:rPr>
          <w:color w:val="auto"/>
          <w:sz w:val="24"/>
        </w:rPr>
        <w:t>El arquitecto y su visión de la arquitectura</w:t>
      </w:r>
    </w:p>
    <w:p w:rsidR="00EF12C4" w:rsidRPr="00EF12C4" w:rsidRDefault="00EF12C4" w:rsidP="00EF12C4">
      <w:pPr>
        <w:ind w:left="-15" w:firstLine="0"/>
        <w:rPr>
          <w:color w:val="auto"/>
        </w:rPr>
      </w:pPr>
      <w:r w:rsidRPr="00EF12C4">
        <w:rPr>
          <w:color w:val="auto"/>
        </w:rPr>
        <w:t>Cuando un arquitecto se encuentra en ambientes hostiles a sus ideales. En algunas de veces es únicamente sólo culpa del arquitecto debido a su soberbia y también a sus cuestiones ambientales, y es en ese momento en el que se da cuenta de la necesidad de torcer los axiomas de su arquitectura ideal.</w:t>
      </w:r>
    </w:p>
    <w:p w:rsidR="00EF12C4" w:rsidRDefault="00EF12C4" w:rsidP="00EF12C4">
      <w:pPr>
        <w:ind w:left="-15" w:firstLine="0"/>
        <w:rPr>
          <w:color w:val="auto"/>
        </w:rPr>
      </w:pPr>
      <w:r w:rsidRPr="00EF12C4">
        <w:rPr>
          <w:color w:val="auto"/>
        </w:rPr>
        <w:t>Por estos motivos es que, a veces, la arquitectura es a su arquitecto, lo que su visión a un visionario.</w:t>
      </w:r>
    </w:p>
    <w:p w:rsidR="00EF12C4" w:rsidRDefault="00EF12C4" w:rsidP="00EF12C4">
      <w:pPr>
        <w:ind w:left="-15" w:firstLine="0"/>
        <w:rPr>
          <w:color w:val="auto"/>
        </w:rPr>
      </w:pPr>
      <w:sdt>
        <w:sdtPr>
          <w:rPr>
            <w:color w:val="auto"/>
          </w:rPr>
          <w:id w:val="706231320"/>
          <w:citation/>
        </w:sdtPr>
        <w:sdtContent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CITATION Val13 \l 2058 </w:instrText>
          </w:r>
          <w:r>
            <w:rPr>
              <w:color w:val="auto"/>
            </w:rPr>
            <w:fldChar w:fldCharType="separate"/>
          </w:r>
          <w:r w:rsidRPr="00EF12C4">
            <w:rPr>
              <w:noProof/>
              <w:color w:val="auto"/>
            </w:rPr>
            <w:t>[1]</w:t>
          </w:r>
          <w:r>
            <w:rPr>
              <w:color w:val="auto"/>
            </w:rPr>
            <w:fldChar w:fldCharType="end"/>
          </w:r>
        </w:sdtContent>
      </w:sdt>
    </w:p>
    <w:sdt>
      <w:sdtPr>
        <w:rPr>
          <w:lang w:val="es-ES"/>
        </w:rPr>
        <w:id w:val="1990440715"/>
        <w:docPartObj>
          <w:docPartGallery w:val="Bibliographies"/>
          <w:docPartUnique/>
        </w:docPartObj>
      </w:sdtPr>
      <w:sdtEndPr>
        <w:rPr>
          <w:rFonts w:ascii="Arial" w:eastAsia="Arial" w:hAnsi="Arial" w:cs="Arial"/>
          <w:b w:val="0"/>
          <w:bCs w:val="0"/>
          <w:color w:val="000000"/>
          <w:kern w:val="0"/>
          <w:sz w:val="22"/>
          <w:szCs w:val="22"/>
          <w:lang w:val="es-MX"/>
        </w:rPr>
      </w:sdtEndPr>
      <w:sdtContent>
        <w:p w:rsidR="00EF12C4" w:rsidRDefault="00EF12C4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EF12C4" w:rsidRDefault="00EF12C4">
              <w:pPr>
                <w:rPr>
                  <w:rFonts w:asciiTheme="minorHAnsi" w:eastAsiaTheme="minorHAnsi" w:hAnsiTheme="minorHAnsi" w:cstheme="minorBidi"/>
                  <w:noProof/>
                  <w:color w:val="auto"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5"/>
                <w:gridCol w:w="8533"/>
              </w:tblGrid>
              <w:tr w:rsidR="00EF12C4">
                <w:trPr>
                  <w:divId w:val="125220477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F12C4" w:rsidRDefault="00EF12C4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F12C4" w:rsidRDefault="00EF12C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Valerio Adrián Anacleto, 21 nobiembre 2013. [En línea]. Available: http://www.epidataconsulting.com/tikiwiki/tiki-read_article.php?articleId=40. [Último acceso: 10 diciembre 2018].</w:t>
                    </w:r>
                  </w:p>
                </w:tc>
                <w:bookmarkStart w:id="0" w:name="_GoBack"/>
                <w:bookmarkEnd w:id="0"/>
              </w:tr>
            </w:tbl>
            <w:p w:rsidR="00EF12C4" w:rsidRDefault="00EF12C4">
              <w:pPr>
                <w:divId w:val="1252204774"/>
                <w:rPr>
                  <w:rFonts w:eastAsia="Times New Roman"/>
                  <w:noProof/>
                </w:rPr>
              </w:pPr>
            </w:p>
            <w:p w:rsidR="00EF12C4" w:rsidRDefault="00EF12C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F12C4" w:rsidRPr="00EF12C4" w:rsidRDefault="00EF12C4" w:rsidP="00EF12C4">
      <w:pPr>
        <w:ind w:left="-15" w:firstLine="0"/>
        <w:rPr>
          <w:color w:val="auto"/>
        </w:rPr>
      </w:pPr>
    </w:p>
    <w:sectPr w:rsidR="00EF12C4" w:rsidRPr="00EF1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34"/>
    <w:rsid w:val="00084B4D"/>
    <w:rsid w:val="006A0601"/>
    <w:rsid w:val="00800034"/>
    <w:rsid w:val="00E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86946-0675-4749-9A7C-2F943CA3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034"/>
    <w:pPr>
      <w:spacing w:after="175" w:line="246" w:lineRule="auto"/>
      <w:ind w:left="-5" w:right="-15" w:hanging="10"/>
      <w:jc w:val="both"/>
    </w:pPr>
    <w:rPr>
      <w:rFonts w:ascii="Arial" w:eastAsia="Arial" w:hAnsi="Arial" w:cs="Arial"/>
      <w:color w:val="000000"/>
      <w:lang w:eastAsia="es-MX"/>
    </w:rPr>
  </w:style>
  <w:style w:type="paragraph" w:styleId="Ttulo1">
    <w:name w:val="heading 1"/>
    <w:basedOn w:val="Normal"/>
    <w:link w:val="Ttulo1Car"/>
    <w:uiPriority w:val="9"/>
    <w:qFormat/>
    <w:rsid w:val="00084B4D"/>
    <w:pPr>
      <w:spacing w:before="100" w:beforeAutospacing="1" w:after="100" w:afterAutospacing="1"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B4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084B4D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EF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opernicanism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Galileo_Galile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://gl.wikipedia.org/wiki/Heliocentris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Val13</b:Tag>
    <b:SourceType>InternetSite</b:SourceType>
    <b:Guid>{4BB6BA39-4829-4FEF-A5AA-48CC046050F5}</b:Guid>
    <b:ProductionCompany>Valerio Adrián Anacleto</b:ProductionCompany>
    <b:Year>2013</b:Year>
    <b:Month>nobiembre</b:Month>
    <b:Day>21</b:Day>
    <b:YearAccessed>2018</b:YearAccessed>
    <b:MonthAccessed>diciembre</b:MonthAccessed>
    <b:DayAccessed>10</b:DayAccessed>
    <b:URL>http://www.epidataconsulting.com/tikiwiki/tiki-read_article.php?articleId=40</b:URL>
    <b:InternetSiteTitle>epiwiki deployin ideas</b:InternetSiteTitle>
    <b:Author>
      <b:ProducerName>
        <b:NameList>
          <b:Person>
            <b:Last>Anacleto</b:Last>
            <b:First>Valerio</b:First>
            <b:Middle>Adrián</b:Middle>
          </b:Person>
        </b:NameList>
      </b:ProducerName>
    </b:Author>
    <b:RefOrder>1</b:RefOrder>
  </b:Source>
</b:Sources>
</file>

<file path=customXml/itemProps1.xml><?xml version="1.0" encoding="utf-8"?>
<ds:datastoreItem xmlns:ds="http://schemas.openxmlformats.org/officeDocument/2006/customXml" ds:itemID="{EF7466D4-AD66-4B3E-AE86-8351C0E20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1</cp:revision>
  <dcterms:created xsi:type="dcterms:W3CDTF">2018-12-10T13:28:00Z</dcterms:created>
  <dcterms:modified xsi:type="dcterms:W3CDTF">2018-12-10T14:06:00Z</dcterms:modified>
</cp:coreProperties>
</file>