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Evidencia “DÍA 3 SEMANA 8” del 16/06: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una base de datos y 2 o 3 tablas.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miercoles 16-06-2021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*****CRUD: En informática, CRUD es el acrónimo de "Crear, Leer, Actualizar y Borrar", que se usa para referirse a las funciones básicas en bases de datos o la capa de persistencia en un software******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1"/>
          <w:szCs w:val="21"/>
          <w:highlight w:val="white"/>
          <w:rtl w:val="0"/>
        </w:rPr>
        <w:t xml:space="preserve"> create dabase nombreBD character set utf8;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  <w:drawing>
          <wp:inline distB="114300" distT="114300" distL="114300" distR="114300">
            <wp:extent cx="5731200" cy="210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1"/>
          <w:szCs w:val="21"/>
          <w:highlight w:val="white"/>
          <w:rtl w:val="0"/>
        </w:rPr>
        <w:t xml:space="preserve"> ejercicio de creacion de tablas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create database pruebaDBjuan character set utf8;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use pruebaDBjuan;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create table primeratabla (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idtabla int auto_increment,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nombre varchar(35),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apellido varchar(35),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fechanacimiento date,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primary key (idtabla)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create table segundatabla (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idtabla int auto_increment,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salud varchar(30),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AFP varchar(30),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primary key (idtabla)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11111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