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Spline Sans" w:cs="Spline Sans" w:eastAsia="Spline Sans" w:hAnsi="Spline Sans"/>
          <w:b w:val="1"/>
          <w:bCs w:val="1"/>
        </w:rPr>
      </w:pPr>
      <w:r w:rsidDel="00000000" w:rsidR="00000000" w:rsidRPr="00000000">
        <w:rPr>
          <w:rFonts w:ascii="Spline Sans" w:cs="Spline Sans" w:eastAsia="Spline Sans" w:hAnsi="Spline Sans"/>
          <w:rtl w:val="0"/>
        </w:rPr>
        <w:t xml:space="preserve">Estimados</w:t>
      </w:r>
      <w:r w:rsidDel="00000000" w:rsidR="00000000" w:rsidRPr="00000000">
        <w:rPr>
          <w:rtl w:val="0"/>
        </w:rPr>
      </w:r>
    </w:p>
    <w:p w:rsidR="00000000" w:rsidDel="00000000" w:rsidP="00000000" w:rsidRDefault="00000000" w:rsidRPr="00000000" w14:paraId="00000002">
      <w:pPr>
        <w:spacing w:after="240" w:before="240" w:lineRule="auto"/>
        <w:rPr>
          <w:rFonts w:ascii="Spline Sans" w:cs="Spline Sans" w:eastAsia="Spline Sans" w:hAnsi="Spline Sans"/>
          <w:b w:val="1"/>
          <w:bCs w:val="1"/>
        </w:rPr>
      </w:pPr>
      <w:r w:rsidDel="00000000" w:rsidR="00000000" w:rsidRPr="00000000">
        <w:rPr>
          <w:rFonts w:ascii="Spline Sans" w:cs="Spline Sans" w:eastAsia="Spline Sans" w:hAnsi="Spline Sans"/>
          <w:b w:val="1"/>
          <w:bCs w:val="1"/>
          <w:rtl w:val="0"/>
        </w:rPr>
        <w:t xml:space="preserve">{{nombre_operador}}</w:t>
      </w:r>
    </w:p>
    <w:p w:rsidR="00000000" w:rsidDel="00000000" w:rsidP="00000000" w:rsidRDefault="00000000" w:rsidRPr="00000000" w14:paraId="00000003">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Email: {{email}}</w:t>
      </w:r>
    </w:p>
    <w:p w:rsidR="00000000" w:rsidDel="00000000" w:rsidP="00000000" w:rsidRDefault="00000000" w:rsidRPr="00000000" w14:paraId="00000004">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E.S.D</w:t>
      </w:r>
    </w:p>
    <w:p w:rsidR="00000000" w:rsidDel="00000000" w:rsidP="00000000" w:rsidRDefault="00000000" w:rsidRPr="00000000" w14:paraId="00000005">
      <w:pPr>
        <w:spacing w:after="240" w:before="240" w:lineRule="auto"/>
        <w:rPr>
          <w:rFonts w:ascii="Spline Sans" w:cs="Spline Sans" w:eastAsia="Spline Sans" w:hAnsi="Spline Sans"/>
        </w:rPr>
      </w:pPr>
      <w:r w:rsidDel="00000000" w:rsidR="00000000" w:rsidRPr="00000000">
        <w:rPr>
          <w:rtl w:val="0"/>
        </w:rPr>
      </w:r>
    </w:p>
    <w:p w:rsidR="00000000" w:rsidDel="00000000" w:rsidP="00000000" w:rsidRDefault="00000000" w:rsidRPr="00000000" w14:paraId="00000006">
      <w:pPr>
        <w:spacing w:after="240" w:before="240" w:lineRule="auto"/>
        <w:rPr>
          <w:rFonts w:ascii="Spline Sans" w:cs="Spline Sans" w:eastAsia="Spline Sans" w:hAnsi="Spline Sans"/>
          <w:b w:val="1"/>
          <w:bCs w:val="1"/>
        </w:rPr>
      </w:pPr>
      <w:r w:rsidDel="00000000" w:rsidR="00000000" w:rsidRPr="00000000">
        <w:rPr>
          <w:rFonts w:ascii="Spline Sans" w:cs="Spline Sans" w:eastAsia="Spline Sans" w:hAnsi="Spline Sans"/>
          <w:b w:val="1"/>
          <w:bCs w:val="1"/>
          <w:rtl w:val="0"/>
        </w:rPr>
        <w:t xml:space="preserve">Asunto: Propuesta de servicios profesionales. Acompañamiento banda 900 MHz.</w:t>
      </w:r>
    </w:p>
    <w:p w:rsidR="00000000" w:rsidDel="00000000" w:rsidP="00000000" w:rsidRDefault="00000000" w:rsidRPr="00000000" w14:paraId="00000007">
      <w:pPr>
        <w:spacing w:after="240" w:before="240" w:lineRule="auto"/>
        <w:rPr>
          <w:rFonts w:ascii="Spline Sans" w:cs="Spline Sans" w:eastAsia="Spline Sans" w:hAnsi="Spline Sans"/>
        </w:rPr>
      </w:pPr>
      <w:r w:rsidDel="00000000" w:rsidR="00000000" w:rsidRPr="00000000">
        <w:rPr>
          <w:rtl w:val="0"/>
        </w:rPr>
      </w:r>
    </w:p>
    <w:p w:rsidR="00000000" w:rsidDel="00000000" w:rsidP="00000000" w:rsidRDefault="00000000" w:rsidRPr="00000000" w14:paraId="00000008">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El Ministerio TIC ha iniciado el proceso de selección para el uso de la </w:t>
      </w:r>
      <w:r w:rsidDel="00000000" w:rsidR="00000000" w:rsidRPr="00000000">
        <w:rPr>
          <w:rFonts w:ascii="Spline Sans" w:cs="Spline Sans" w:eastAsia="Spline Sans" w:hAnsi="Spline Sans"/>
          <w:rtl w:val="0"/>
        </w:rPr>
        <w:t xml:space="preserve">banda de 900 MHz</w:t>
      </w:r>
      <w:r w:rsidDel="00000000" w:rsidR="00000000" w:rsidRPr="00000000">
        <w:rPr>
          <w:rFonts w:ascii="Spline Sans" w:cs="Spline Sans" w:eastAsia="Spline Sans" w:hAnsi="Spline Sans"/>
          <w:rtl w:val="0"/>
        </w:rPr>
        <w:t xml:space="preserve">. Dado el carácter técnico y la rigurosidad documental del Sistema de Gestión del Espectro (SGE), el éxito de la asignación depende de una postulación sin errores jurídicos ni técnicos.</w:t>
      </w:r>
    </w:p>
    <w:p w:rsidR="00000000" w:rsidDel="00000000" w:rsidP="00000000" w:rsidRDefault="00000000" w:rsidRPr="00000000" w14:paraId="00000009">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En </w:t>
      </w:r>
      <w:r w:rsidDel="00000000" w:rsidR="00000000" w:rsidRPr="00000000">
        <w:rPr>
          <w:rFonts w:ascii="Spline Sans" w:cs="Spline Sans" w:eastAsia="Spline Sans" w:hAnsi="Spline Sans"/>
          <w:rtl w:val="0"/>
        </w:rPr>
        <w:t xml:space="preserve">SIMPLAW</w:t>
      </w:r>
      <w:r w:rsidDel="00000000" w:rsidR="00000000" w:rsidRPr="00000000">
        <w:rPr>
          <w:rFonts w:ascii="Spline Sans" w:cs="Spline Sans" w:eastAsia="Spline Sans" w:hAnsi="Spline Sans"/>
          <w:rtl w:val="0"/>
        </w:rPr>
        <w:t xml:space="preserve">, ofrecemos un servicio de acompañamiento experto para asegurar que su organización cumpla con cada estándar exigido por el MinTIC, minimizando el riesgo de rechazo.</w:t>
      </w:r>
      <w:r w:rsidDel="00000000" w:rsidR="00000000" w:rsidRPr="00000000">
        <w:rPr>
          <w:rtl w:val="0"/>
        </w:rPr>
      </w:r>
    </w:p>
    <w:p w:rsidR="00000000" w:rsidDel="00000000" w:rsidP="00000000" w:rsidRDefault="00000000" w:rsidRPr="00000000" w14:paraId="0000000A">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Nuestro trabajo se divide en los pilares críticos del proceso de selección:</w:t>
      </w:r>
    </w:p>
    <w:p w:rsidR="00000000" w:rsidDel="00000000" w:rsidP="00000000" w:rsidRDefault="00000000" w:rsidRPr="00000000" w14:paraId="0000000B">
      <w:pPr>
        <w:numPr>
          <w:ilvl w:val="0"/>
          <w:numId w:val="1"/>
        </w:numPr>
        <w:spacing w:before="240" w:lineRule="auto"/>
        <w:ind w:left="720" w:hanging="360"/>
      </w:pPr>
      <w:r w:rsidDel="00000000" w:rsidR="00000000" w:rsidRPr="00000000">
        <w:rPr>
          <w:rFonts w:ascii="Spline Sans" w:cs="Spline Sans" w:eastAsia="Spline Sans" w:hAnsi="Spline Sans"/>
          <w:rtl w:val="0"/>
        </w:rPr>
        <w:t xml:space="preserve">Auditoría de Requisitos y Habilitación:</w:t>
      </w:r>
      <w:r w:rsidDel="00000000" w:rsidR="00000000" w:rsidRPr="00000000">
        <w:rPr>
          <w:rFonts w:ascii="Spline Sans" w:cs="Spline Sans" w:eastAsia="Spline Sans" w:hAnsi="Spline Sans"/>
          <w:rtl w:val="0"/>
        </w:rPr>
        <w:t xml:space="preserve"> Revisión profunda del cumplimiento de las condiciones de participación (Resoluciones 01262 y 01263 de 2024), asegurando que el operador cumpla con los criterios de PRST o Comunidad Organizada según corresponda.</w:t>
      </w:r>
    </w:p>
    <w:p w:rsidR="00000000" w:rsidDel="00000000" w:rsidP="00000000" w:rsidRDefault="00000000" w:rsidRPr="00000000" w14:paraId="0000000C">
      <w:pPr>
        <w:numPr>
          <w:ilvl w:val="0"/>
          <w:numId w:val="1"/>
        </w:numPr>
        <w:ind w:left="720" w:hanging="360"/>
      </w:pPr>
      <w:r w:rsidDel="00000000" w:rsidR="00000000" w:rsidRPr="00000000">
        <w:rPr>
          <w:rFonts w:ascii="Spline Sans" w:cs="Spline Sans" w:eastAsia="Spline Sans" w:hAnsi="Spline Sans"/>
          <w:rtl w:val="0"/>
        </w:rPr>
        <w:t xml:space="preserve">Gestión de Documentación:</w:t>
      </w:r>
      <w:r w:rsidDel="00000000" w:rsidR="00000000" w:rsidRPr="00000000">
        <w:rPr>
          <w:rFonts w:ascii="Spline Sans" w:cs="Spline Sans" w:eastAsia="Spline Sans" w:hAnsi="Spline Sans"/>
          <w:rtl w:val="0"/>
        </w:rPr>
        <w:t xml:space="preserve"> Revisión, validación y estructuración de toda la documentación jurídica, técnica y financiera requerida. Nos aseguramos de que cada archivo cumpla con los estándares de carga en el SGE.</w:t>
      </w:r>
    </w:p>
    <w:p w:rsidR="00000000" w:rsidDel="00000000" w:rsidP="00000000" w:rsidRDefault="00000000" w:rsidRPr="00000000" w14:paraId="0000000D">
      <w:pPr>
        <w:numPr>
          <w:ilvl w:val="0"/>
          <w:numId w:val="1"/>
        </w:numPr>
        <w:ind w:left="720" w:hanging="360"/>
      </w:pPr>
      <w:r w:rsidDel="00000000" w:rsidR="00000000" w:rsidRPr="00000000">
        <w:rPr>
          <w:rFonts w:ascii="Spline Sans" w:cs="Spline Sans" w:eastAsia="Spline Sans" w:hAnsi="Spline Sans"/>
          <w:rtl w:val="0"/>
        </w:rPr>
        <w:t xml:space="preserve">Acompañamiento en la Postulación:</w:t>
      </w:r>
      <w:r w:rsidDel="00000000" w:rsidR="00000000" w:rsidRPr="00000000">
        <w:rPr>
          <w:rFonts w:ascii="Spline Sans" w:cs="Spline Sans" w:eastAsia="Spline Sans" w:hAnsi="Spline Sans"/>
          <w:rtl w:val="0"/>
        </w:rPr>
        <w:t xml:space="preserve"> Soporte directo en la radicación de la solicitud, garantizando que la manifestación de interés y la oferta técnica se presenten correctamente dentro de los plazos legales.</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rFonts w:ascii="Spline Sans" w:cs="Spline Sans" w:eastAsia="Spline Sans" w:hAnsi="Spline Sans"/>
          <w:rtl w:val="0"/>
        </w:rPr>
        <w:t xml:space="preserve">Revisión y Seguimiento de la Asignación:</w:t>
      </w:r>
      <w:r w:rsidDel="00000000" w:rsidR="00000000" w:rsidRPr="00000000">
        <w:rPr>
          <w:rFonts w:ascii="Spline Sans" w:cs="Spline Sans" w:eastAsia="Spline Sans" w:hAnsi="Spline Sans"/>
          <w:rtl w:val="0"/>
        </w:rPr>
        <w:t xml:space="preserve"> Análisis del acto administrativo de asignación, verificación de las condiciones del permiso otorgado y respuesta a posibles requerimientos o aclaraciones durante la etapa de evaluación.</w:t>
      </w:r>
    </w:p>
    <w:p w:rsidR="00000000" w:rsidDel="00000000" w:rsidP="00000000" w:rsidRDefault="00000000" w:rsidRPr="00000000" w14:paraId="0000000F">
      <w:pPr>
        <w:pStyle w:val="Heading4"/>
        <w:keepNext w:val="0"/>
        <w:keepLines w:val="0"/>
        <w:spacing w:after="40" w:before="240" w:lineRule="auto"/>
        <w:rPr>
          <w:rFonts w:ascii="Spline Sans" w:cs="Spline Sans" w:eastAsia="Spline Sans" w:hAnsi="Spline Sans"/>
          <w:color w:val="000000"/>
          <w:sz w:val="22"/>
          <w:szCs w:val="22"/>
        </w:rPr>
      </w:pPr>
      <w:bookmarkStart w:colFirst="0" w:colLast="0" w:name="_heading=h.oc4ri3hd7b5f" w:id="0"/>
      <w:bookmarkEnd w:id="0"/>
      <w:r w:rsidDel="00000000" w:rsidR="00000000" w:rsidRPr="00000000">
        <w:rPr>
          <w:rFonts w:ascii="Spline Sans" w:cs="Spline Sans" w:eastAsia="Spline Sans" w:hAnsi="Spline Sans"/>
          <w:color w:val="000000"/>
          <w:sz w:val="22"/>
          <w:szCs w:val="22"/>
          <w:rtl w:val="0"/>
        </w:rPr>
        <w:t xml:space="preserve">Propuesta de Valor de SIMPLAW</w:t>
      </w:r>
    </w:p>
    <w:p w:rsidR="00000000" w:rsidDel="00000000" w:rsidP="00000000" w:rsidRDefault="00000000" w:rsidRPr="00000000" w14:paraId="00000010">
      <w:pPr>
        <w:numPr>
          <w:ilvl w:val="0"/>
          <w:numId w:val="2"/>
        </w:numPr>
        <w:spacing w:before="240" w:lineRule="auto"/>
        <w:ind w:left="720" w:hanging="360"/>
      </w:pPr>
      <w:r w:rsidDel="00000000" w:rsidR="00000000" w:rsidRPr="00000000">
        <w:rPr>
          <w:rFonts w:ascii="Spline Sans" w:cs="Spline Sans" w:eastAsia="Spline Sans" w:hAnsi="Spline Sans"/>
          <w:rtl w:val="0"/>
        </w:rPr>
        <w:t xml:space="preserve">Precisión Jurídica:</w:t>
      </w:r>
      <w:r w:rsidDel="00000000" w:rsidR="00000000" w:rsidRPr="00000000">
        <w:rPr>
          <w:rFonts w:ascii="Spline Sans" w:cs="Spline Sans" w:eastAsia="Spline Sans" w:hAnsi="Spline Sans"/>
          <w:rtl w:val="0"/>
        </w:rPr>
        <w:t xml:space="preserve"> Análisis detallado de la normativa de espectro para evitar errores de forma que afecten la prioridad del operador.</w:t>
      </w:r>
    </w:p>
    <w:p w:rsidR="00000000" w:rsidDel="00000000" w:rsidP="00000000" w:rsidRDefault="00000000" w:rsidRPr="00000000" w14:paraId="00000011">
      <w:pPr>
        <w:numPr>
          <w:ilvl w:val="0"/>
          <w:numId w:val="2"/>
        </w:numPr>
        <w:ind w:left="720" w:hanging="360"/>
      </w:pPr>
      <w:r w:rsidDel="00000000" w:rsidR="00000000" w:rsidRPr="00000000">
        <w:rPr>
          <w:rFonts w:ascii="Spline Sans" w:cs="Spline Sans" w:eastAsia="Spline Sans" w:hAnsi="Spline Sans"/>
          <w:rtl w:val="0"/>
        </w:rPr>
        <w:t xml:space="preserve">Simplicidad:</w:t>
      </w:r>
      <w:r w:rsidDel="00000000" w:rsidR="00000000" w:rsidRPr="00000000">
        <w:rPr>
          <w:rFonts w:ascii="Spline Sans" w:cs="Spline Sans" w:eastAsia="Spline Sans" w:hAnsi="Spline Sans"/>
          <w:rtl w:val="0"/>
        </w:rPr>
        <w:t xml:space="preserve"> Traducimos la complejidad de las resoluciones del MinTIC en pasos claros y accionables para su equipo.</w:t>
      </w:r>
    </w:p>
    <w:p w:rsidR="00000000" w:rsidDel="00000000" w:rsidP="00000000" w:rsidRDefault="00000000" w:rsidRPr="00000000" w14:paraId="00000012">
      <w:pPr>
        <w:numPr>
          <w:ilvl w:val="0"/>
          <w:numId w:val="2"/>
        </w:numPr>
        <w:spacing w:after="240" w:lineRule="auto"/>
        <w:ind w:left="720" w:hanging="360"/>
      </w:pPr>
      <w:r w:rsidDel="00000000" w:rsidR="00000000" w:rsidRPr="00000000">
        <w:rPr>
          <w:rFonts w:ascii="Spline Sans" w:cs="Spline Sans" w:eastAsia="Spline Sans" w:hAnsi="Spline Sans"/>
          <w:rtl w:val="0"/>
        </w:rPr>
        <w:t xml:space="preserve">Enfoque en Cumplimiento:</w:t>
      </w:r>
      <w:r w:rsidDel="00000000" w:rsidR="00000000" w:rsidRPr="00000000">
        <w:rPr>
          <w:rFonts w:ascii="Spline Sans" w:cs="Spline Sans" w:eastAsia="Spline Sans" w:hAnsi="Spline Sans"/>
          <w:rtl w:val="0"/>
        </w:rPr>
        <w:t xml:space="preserve"> Blindamos su solicitud frente a posibles causales de rechazo o subsanación extemporánea.</w:t>
      </w:r>
    </w:p>
    <w:p w:rsidR="00000000" w:rsidDel="00000000" w:rsidP="00000000" w:rsidRDefault="00000000" w:rsidRPr="00000000" w14:paraId="00000013">
      <w:pPr>
        <w:pStyle w:val="Heading4"/>
        <w:keepNext w:val="0"/>
        <w:keepLines w:val="0"/>
        <w:spacing w:after="40" w:before="240" w:lineRule="auto"/>
        <w:rPr>
          <w:rFonts w:ascii="Spline Sans" w:cs="Spline Sans" w:eastAsia="Spline Sans" w:hAnsi="Spline Sans"/>
          <w:color w:val="000000"/>
          <w:sz w:val="22"/>
          <w:szCs w:val="22"/>
        </w:rPr>
      </w:pPr>
      <w:bookmarkStart w:colFirst="0" w:colLast="0" w:name="_heading=h.2fzgjthy4klt" w:id="1"/>
      <w:bookmarkEnd w:id="1"/>
      <w:r w:rsidDel="00000000" w:rsidR="00000000" w:rsidRPr="00000000">
        <w:rPr>
          <w:rFonts w:ascii="Spline Sans" w:cs="Spline Sans" w:eastAsia="Spline Sans" w:hAnsi="Spline Sans"/>
          <w:color w:val="000000"/>
          <w:sz w:val="22"/>
          <w:szCs w:val="22"/>
          <w:rtl w:val="0"/>
        </w:rPr>
        <w:t xml:space="preserve">Metodología</w:t>
      </w:r>
    </w:p>
    <w:p w:rsidR="00000000" w:rsidDel="00000000" w:rsidP="00000000" w:rsidRDefault="00000000" w:rsidRPr="00000000" w14:paraId="00000014">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Trabajaremos de forma coordinada con su equipo técnico para consolidar la información, actuando como el filtro de calidad legal antes de cualquier interacción oficial con el Ministerio.</w:t>
      </w:r>
    </w:p>
    <w:p w:rsidR="00000000" w:rsidDel="00000000" w:rsidP="00000000" w:rsidRDefault="00000000" w:rsidRPr="00000000" w14:paraId="00000015">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Valor de los honorarios y forma de pago</w:t>
      </w:r>
    </w:p>
    <w:p w:rsidR="00000000" w:rsidDel="00000000" w:rsidP="00000000" w:rsidRDefault="00000000" w:rsidRPr="00000000" w14:paraId="00000016">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El valor de los honorarios totales es de DOS MILLONES DE PESOS ($2’000.000) M/CTE, los cuales se pagarán de la siguiente manera: </w:t>
      </w:r>
    </w:p>
    <w:p w:rsidR="00000000" w:rsidDel="00000000" w:rsidP="00000000" w:rsidRDefault="00000000" w:rsidRPr="00000000" w14:paraId="00000017">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a.</w:t>
        <w:tab/>
        <w:t xml:space="preserve">La suma de UN MILLÓN DE PESOS (1’000.000) M/CTE, los cuales deberán pagarse al momento de aceptación de la presente oferta.</w:t>
      </w:r>
    </w:p>
    <w:p w:rsidR="00000000" w:rsidDel="00000000" w:rsidP="00000000" w:rsidRDefault="00000000" w:rsidRPr="00000000" w14:paraId="00000018">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b.</w:t>
        <w:tab/>
        <w:t xml:space="preserve">La suma de UN MILLÓN DE PESOS (1’000.000) M/CTE, los cuales deberán pagarse al momento de entrega de la documentación final para radicar.</w:t>
      </w:r>
    </w:p>
    <w:p w:rsidR="00000000" w:rsidDel="00000000" w:rsidP="00000000" w:rsidRDefault="00000000" w:rsidRPr="00000000" w14:paraId="00000019">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NOTA:</w:t>
      </w:r>
      <w:r w:rsidDel="00000000" w:rsidR="00000000" w:rsidRPr="00000000">
        <w:rPr>
          <w:rFonts w:ascii="Spline Sans" w:cs="Spline Sans" w:eastAsia="Spline Sans" w:hAnsi="Spline Sans"/>
          <w:rtl w:val="0"/>
        </w:rPr>
        <w:t xml:space="preserve"> la presente propuesta de honorarios no cubre gastos de desplazamiento a lugares distintos a la ciudad de Bogotá. Estos deberán ser objeto de acuerdo previo entre las partes.</w:t>
      </w:r>
    </w:p>
    <w:p w:rsidR="00000000" w:rsidDel="00000000" w:rsidP="00000000" w:rsidRDefault="00000000" w:rsidRPr="00000000" w14:paraId="0000001A">
      <w:pPr>
        <w:spacing w:after="240" w:before="240" w:lineRule="auto"/>
        <w:rPr>
          <w:rFonts w:ascii="Spline Sans" w:cs="Spline Sans" w:eastAsia="Spline Sans" w:hAnsi="Spline Sans"/>
        </w:rPr>
      </w:pPr>
      <w:r w:rsidDel="00000000" w:rsidR="00000000" w:rsidRPr="00000000">
        <w:rPr>
          <w:rtl w:val="0"/>
        </w:rPr>
      </w:r>
    </w:p>
    <w:p w:rsidR="00000000" w:rsidDel="00000000" w:rsidP="00000000" w:rsidRDefault="00000000" w:rsidRPr="00000000" w14:paraId="0000001B">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Nuestro equipo</w:t>
      </w:r>
    </w:p>
    <w:p w:rsidR="00000000" w:rsidDel="00000000" w:rsidP="00000000" w:rsidRDefault="00000000" w:rsidRPr="00000000" w14:paraId="0000001C">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La atención profesional de los servicios expuestos en la presente oferta será realizada directamente y bajo responsabilidad del suscrito, auxiliado por un equipo de abogados pertenecientes a este despacho.</w:t>
      </w:r>
    </w:p>
    <w:p w:rsidR="00000000" w:rsidDel="00000000" w:rsidP="00000000" w:rsidRDefault="00000000" w:rsidRPr="00000000" w14:paraId="0000001D">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NICOLÁS ALMEYDA OROZCO es abogado de la Universidad Externado de Colombia, especialista en Regulación y gestión en TIC, telecomunicaciones y el ecosistema digital, Magíster en derecho administrativo y Magíster en derecho económico de la misma casa de estudios, con amplia experiencia en los sectores público y privado en asuntos regulatorios y de política pública. Fue asesor en la Comisión de Regulación de Comunicaciones, asesor del Viceministerio de Conectividad, Director encargado de Infraestructura, de Vigilancia, Inspección y Control y Director de Industria de Comunicaciones del Ministerio de Tecnologías de la Información y las Comunicaciones.</w:t>
      </w:r>
    </w:p>
    <w:p w:rsidR="00000000" w:rsidDel="00000000" w:rsidP="00000000" w:rsidRDefault="00000000" w:rsidRPr="00000000" w14:paraId="0000001E">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Se ha desempeñado como asesor para empresas del sector privado en materia de infraestructura y asuntos contractuales, ha sido secretario de tribunal de arbitramento, además de ejercer actividades de docencia en distintas universidades del país, con publicaciones en revistas tales como la Revista Digital de Derecho Administrativo y la revista Con-Texto de la Universidad Externado de Colombia. Además, es autor del libro “Supervisión de criptoactivos en Colombia”, publicado por la Editorial Tirant lo Blanch.</w:t>
      </w:r>
    </w:p>
    <w:p w:rsidR="00000000" w:rsidDel="00000000" w:rsidP="00000000" w:rsidRDefault="00000000" w:rsidRPr="00000000" w14:paraId="0000001F">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En el sector privado, se ha desempeñado como abogado litigante en procesos civiles, asesoramientos contractuales de empresas público – privadas, además de tener diplomados en innovación y gerencia de proyectos.</w:t>
      </w:r>
    </w:p>
    <w:p w:rsidR="00000000" w:rsidDel="00000000" w:rsidP="00000000" w:rsidRDefault="00000000" w:rsidRPr="00000000" w14:paraId="00000020">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JUAN PABLO OSORIO MARÍN es abogado egresado de la Universidad de Caldas, con Maestría en Derecho Económico con énfasis en Análisis Económico del Derecho y Regulación Económica. Cuenta con nueve (9) años de experiencia en derecho de la competencia, del consumidor y regulación TIC. Fue asesor legal en la Comisión de Regulación de Comunicaciones y la Superintendencia de Industria y Comercio. Igualmente fue Representante legal de Claro Colombia y encargado de investigaciones administrativas y cumplimiento regulatorio. Actualmente consultor en Legaltech y regulación económica de mercados.</w:t>
      </w:r>
    </w:p>
    <w:p w:rsidR="00000000" w:rsidDel="00000000" w:rsidP="00000000" w:rsidRDefault="00000000" w:rsidRPr="00000000" w14:paraId="00000021">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Construyamos una postulación sólida.</w:t>
      </w:r>
    </w:p>
    <w:p w:rsidR="00000000" w:rsidDel="00000000" w:rsidP="00000000" w:rsidRDefault="00000000" w:rsidRPr="00000000" w14:paraId="00000022">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SIMPLAW</w:t>
      </w:r>
      <w:r w:rsidDel="00000000" w:rsidR="00000000" w:rsidRPr="00000000">
        <w:rPr>
          <w:rFonts w:ascii="Spline Sans" w:cs="Spline Sans" w:eastAsia="Spline Sans" w:hAnsi="Spline Sans"/>
          <w:rtl w:val="0"/>
        </w:rPr>
        <w:t xml:space="preserve"> [contacto@simplaw.co]</w:t>
      </w:r>
    </w:p>
    <w:p w:rsidR="00000000" w:rsidDel="00000000" w:rsidP="00000000" w:rsidRDefault="00000000" w:rsidRPr="00000000" w14:paraId="00000023">
      <w:pPr>
        <w:spacing w:after="240" w:before="240" w:lineRule="auto"/>
        <w:rPr>
          <w:rFonts w:ascii="Spline Sans" w:cs="Spline Sans" w:eastAsia="Spline Sans" w:hAnsi="Spline Sans"/>
        </w:rPr>
      </w:pPr>
      <w:r w:rsidDel="00000000" w:rsidR="00000000" w:rsidRPr="00000000">
        <w:rPr>
          <w:rFonts w:ascii="Spline Sans" w:cs="Spline Sans" w:eastAsia="Spline Sans" w:hAnsi="Spline Sans"/>
          <w:rtl w:val="0"/>
        </w:rPr>
        <w:t xml:space="preserve">[www.simplaw.co]</w:t>
      </w:r>
    </w:p>
    <w:p w:rsidR="00000000" w:rsidDel="00000000" w:rsidP="00000000" w:rsidRDefault="00000000" w:rsidRPr="00000000" w14:paraId="00000024">
      <w:pPr>
        <w:spacing w:after="240" w:before="240" w:lineRule="auto"/>
        <w:rPr>
          <w:rFonts w:ascii="Spline Sans" w:cs="Spline Sans" w:eastAsia="Spline Sans" w:hAnsi="Spline Sans"/>
        </w:rPr>
      </w:pPr>
      <w:r w:rsidDel="00000000" w:rsidR="00000000" w:rsidRPr="00000000">
        <w:rPr>
          <w:rtl w:val="0"/>
        </w:rPr>
      </w:r>
    </w:p>
    <w:p w:rsidR="00000000" w:rsidDel="00000000" w:rsidP="00000000" w:rsidRDefault="00000000" w:rsidRPr="00000000" w14:paraId="00000025">
      <w:pPr>
        <w:rPr>
          <w:rFonts w:ascii="Spline Sans" w:cs="Spline Sans" w:eastAsia="Spline Sans" w:hAnsi="Spline Sans"/>
        </w:rPr>
      </w:pPr>
      <w:r w:rsidDel="00000000" w:rsidR="00000000" w:rsidRPr="00000000">
        <w:rPr>
          <w:rtl w:val="0"/>
        </w:rPr>
      </w:r>
    </w:p>
    <w:p w:rsidR="00000000" w:rsidDel="00000000" w:rsidP="00000000" w:rsidRDefault="00000000" w:rsidRPr="00000000" w14:paraId="00000026">
      <w:pPr>
        <w:jc w:val="both"/>
        <w:rPr>
          <w:rFonts w:ascii="Spline Sans" w:cs="Spline Sans" w:eastAsia="Spline Sans" w:hAnsi="Spline Sans"/>
        </w:rPr>
      </w:pPr>
      <w:r w:rsidDel="00000000" w:rsidR="00000000" w:rsidRPr="00000000">
        <w:rPr>
          <w:rtl w:val="0"/>
        </w:rPr>
      </w:r>
    </w:p>
    <w:sectPr>
      <w:headerReference r:id="rId7" w:type="default"/>
      <w:footerReference r:id="rId8" w:type="default"/>
      <w:pgSz w:h="16834" w:w="11909" w:orient="portrait"/>
      <w:pgMar w:bottom="1701" w:top="2268"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line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41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400675" cy="4762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00675" cy="47625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41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7287578" cy="257175"/>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287578" cy="2571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plineSans-regular.ttf"/><Relationship Id="rId2" Type="http://schemas.openxmlformats.org/officeDocument/2006/relationships/font" Target="fonts/Spline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MsGZsljdizWI1PsMehBqTK/xrQ==">CgMxLjAyDmgub2M0cmkzaGQ3YjVmMg5oLjJmemdqdGh5NGtsdDgAciExZWFUYWJFd3Uwa3ZydTQwcnBEaDRuNDhia1FGUGhMaHU=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