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0AEBA2" w14:textId="46FE738D" w:rsidR="002A5F0F" w:rsidRPr="002A5F0F" w:rsidRDefault="00000000" w:rsidP="002A5F0F">
      <w:pPr>
        <w:pStyle w:val="Ttulo"/>
        <w:pBdr>
          <w:bottom w:val="single" w:sz="8" w:space="6" w:color="4F81BD" w:themeColor="accent1"/>
        </w:pBdr>
        <w:jc w:val="center"/>
        <w:rPr>
          <w:rFonts w:ascii="Times New Roman" w:hAnsi="Times New Roman" w:cs="Times New Roman"/>
          <w:b/>
          <w:bCs/>
          <w:color w:val="auto"/>
          <w:lang w:val="es-EC"/>
        </w:rPr>
      </w:pPr>
      <w:r w:rsidRPr="002A5F0F">
        <w:rPr>
          <w:rFonts w:ascii="Times New Roman" w:hAnsi="Times New Roman" w:cs="Times New Roman"/>
          <w:b/>
          <w:bCs/>
          <w:color w:val="auto"/>
          <w:lang w:val="es-EC"/>
        </w:rPr>
        <w:t>Informe Técnico – Pipeline de Datos del Macroentorno Ecuatoriano</w:t>
      </w:r>
    </w:p>
    <w:p w14:paraId="5EDCAD27" w14:textId="77777777" w:rsidR="002A5F0F" w:rsidRDefault="00000000" w:rsidP="002A5F0F">
      <w:pPr>
        <w:jc w:val="center"/>
        <w:rPr>
          <w:rFonts w:ascii="Times New Roman" w:hAnsi="Times New Roman" w:cs="Times New Roman"/>
          <w:b/>
          <w:bCs/>
          <w:sz w:val="24"/>
          <w:szCs w:val="24"/>
          <w:lang w:val="es-EC"/>
        </w:rPr>
      </w:pPr>
      <w:r w:rsidRPr="002A5F0F">
        <w:rPr>
          <w:rFonts w:ascii="Times New Roman" w:hAnsi="Times New Roman" w:cs="Times New Roman"/>
          <w:b/>
          <w:bCs/>
          <w:sz w:val="24"/>
          <w:szCs w:val="24"/>
          <w:lang w:val="es-EC"/>
        </w:rPr>
        <w:t>Universidad Técnica Particular de Loja (UTPL)</w:t>
      </w:r>
      <w:r w:rsidRPr="002A5F0F">
        <w:rPr>
          <w:rFonts w:ascii="Times New Roman" w:hAnsi="Times New Roman" w:cs="Times New Roman"/>
          <w:b/>
          <w:bCs/>
          <w:sz w:val="24"/>
          <w:szCs w:val="24"/>
          <w:lang w:val="es-EC"/>
        </w:rPr>
        <w:br/>
        <w:t>Prácticum Interno – Línea de Datos: Ingeniería, Analítica y Visualización</w:t>
      </w:r>
      <w:r w:rsidRPr="002A5F0F">
        <w:rPr>
          <w:rFonts w:ascii="Times New Roman" w:hAnsi="Times New Roman" w:cs="Times New Roman"/>
          <w:b/>
          <w:bCs/>
          <w:sz w:val="24"/>
          <w:szCs w:val="24"/>
          <w:lang w:val="es-EC"/>
        </w:rPr>
        <w:br/>
        <w:t>Proyecto: Pipeline de Datos del Macroentorno Ecuatoriano</w:t>
      </w:r>
    </w:p>
    <w:p w14:paraId="29E8B3CC" w14:textId="478A0ECF" w:rsidR="004274F9" w:rsidRPr="002A5F0F" w:rsidRDefault="002A5F0F" w:rsidP="002A5F0F">
      <w:pPr>
        <w:rPr>
          <w:rFonts w:ascii="Times New Roman" w:hAnsi="Times New Roman" w:cs="Times New Roman"/>
          <w:lang w:val="es-EC"/>
        </w:rPr>
      </w:pPr>
      <w:r>
        <w:rPr>
          <w:rFonts w:ascii="Times New Roman" w:hAnsi="Times New Roman" w:cs="Times New Roman"/>
          <w:b/>
          <w:bCs/>
          <w:sz w:val="24"/>
          <w:szCs w:val="24"/>
          <w:lang w:val="es-EC"/>
        </w:rPr>
        <w:t xml:space="preserve">NOMBRE: </w:t>
      </w:r>
      <w:r>
        <w:rPr>
          <w:rFonts w:ascii="Times New Roman" w:hAnsi="Times New Roman" w:cs="Times New Roman"/>
          <w:sz w:val="24"/>
          <w:szCs w:val="24"/>
          <w:lang w:val="es-EC"/>
        </w:rPr>
        <w:t>Juan Pablo Landi Largo</w:t>
      </w:r>
      <w:r w:rsidR="00000000" w:rsidRPr="002A5F0F">
        <w:rPr>
          <w:rFonts w:ascii="Times New Roman" w:hAnsi="Times New Roman" w:cs="Times New Roman"/>
          <w:b/>
          <w:bCs/>
          <w:lang w:val="es-EC"/>
        </w:rPr>
        <w:br/>
      </w:r>
      <w:r>
        <w:rPr>
          <w:rFonts w:ascii="Times New Roman" w:hAnsi="Times New Roman" w:cs="Times New Roman"/>
          <w:b/>
          <w:bCs/>
          <w:lang w:val="es-EC"/>
        </w:rPr>
        <w:t xml:space="preserve">FECHA: </w:t>
      </w:r>
      <w:r>
        <w:rPr>
          <w:rFonts w:ascii="Times New Roman" w:hAnsi="Times New Roman" w:cs="Times New Roman"/>
          <w:lang w:val="es-EC"/>
        </w:rPr>
        <w:t>05-06-2026</w:t>
      </w:r>
    </w:p>
    <w:p w14:paraId="5F465FEA" w14:textId="77777777" w:rsidR="004274F9" w:rsidRPr="002A5F0F" w:rsidRDefault="00000000">
      <w:pPr>
        <w:pStyle w:val="Ttulo1"/>
        <w:rPr>
          <w:rFonts w:ascii="Times New Roman" w:hAnsi="Times New Roman" w:cs="Times New Roman"/>
          <w:color w:val="auto"/>
          <w:lang w:val="es-EC"/>
        </w:rPr>
      </w:pPr>
      <w:r w:rsidRPr="002A5F0F">
        <w:rPr>
          <w:rFonts w:ascii="Times New Roman" w:hAnsi="Times New Roman" w:cs="Times New Roman"/>
          <w:color w:val="auto"/>
          <w:lang w:val="es-EC"/>
        </w:rPr>
        <w:t>1. Introducción</w:t>
      </w:r>
    </w:p>
    <w:p w14:paraId="29DA86CD" w14:textId="77777777" w:rsidR="004274F9" w:rsidRPr="002A5F0F" w:rsidRDefault="00000000">
      <w:pPr>
        <w:rPr>
          <w:rFonts w:ascii="Times New Roman" w:hAnsi="Times New Roman" w:cs="Times New Roman"/>
          <w:lang w:val="es-EC"/>
        </w:rPr>
      </w:pPr>
      <w:r w:rsidRPr="002A5F0F">
        <w:rPr>
          <w:rFonts w:ascii="Times New Roman" w:hAnsi="Times New Roman" w:cs="Times New Roman"/>
          <w:lang w:val="es-EC"/>
        </w:rPr>
        <w:t>El presente informe describe la arquitectura diseñada para el reto de datos del Macroentorno Ecuatoriano propuesto por la UTPL. El objetivo principal consiste en construir un pipeline de datos reproducible que permita integrar información proveniente de diversas fuentes públicas, procesarla mediante técnicas ETL, almacenarla en una base de datos relacional y generar visualizaciones analíticas que apoyen la toma de decisiones institucionales.</w:t>
      </w:r>
    </w:p>
    <w:p w14:paraId="3F722470" w14:textId="77777777" w:rsidR="004274F9" w:rsidRPr="002A5F0F" w:rsidRDefault="00000000">
      <w:pPr>
        <w:pStyle w:val="Ttulo1"/>
        <w:rPr>
          <w:rFonts w:ascii="Times New Roman" w:hAnsi="Times New Roman" w:cs="Times New Roman"/>
          <w:color w:val="auto"/>
          <w:lang w:val="es-EC"/>
        </w:rPr>
      </w:pPr>
      <w:r w:rsidRPr="002A5F0F">
        <w:rPr>
          <w:rFonts w:ascii="Times New Roman" w:hAnsi="Times New Roman" w:cs="Times New Roman"/>
          <w:color w:val="auto"/>
          <w:lang w:val="es-EC"/>
        </w:rPr>
        <w:t>2. Arquitectura propuesta</w:t>
      </w:r>
    </w:p>
    <w:p w14:paraId="18ECBED9" w14:textId="77777777" w:rsidR="004274F9" w:rsidRPr="002A5F0F" w:rsidRDefault="00000000">
      <w:pPr>
        <w:rPr>
          <w:rFonts w:ascii="Times New Roman" w:hAnsi="Times New Roman" w:cs="Times New Roman"/>
          <w:lang w:val="es-EC"/>
        </w:rPr>
      </w:pPr>
      <w:r w:rsidRPr="002A5F0F">
        <w:rPr>
          <w:rFonts w:ascii="Times New Roman" w:hAnsi="Times New Roman" w:cs="Times New Roman"/>
          <w:lang w:val="es-EC"/>
        </w:rPr>
        <w:t>La solución fue diseñada siguiendo el modelo Medallón (</w:t>
      </w:r>
      <w:proofErr w:type="spellStart"/>
      <w:r w:rsidRPr="002A5F0F">
        <w:rPr>
          <w:rFonts w:ascii="Times New Roman" w:hAnsi="Times New Roman" w:cs="Times New Roman"/>
          <w:lang w:val="es-EC"/>
        </w:rPr>
        <w:t>Bronze</w:t>
      </w:r>
      <w:proofErr w:type="spellEnd"/>
      <w:r w:rsidRPr="002A5F0F">
        <w:rPr>
          <w:rFonts w:ascii="Times New Roman" w:hAnsi="Times New Roman" w:cs="Times New Roman"/>
          <w:lang w:val="es-EC"/>
        </w:rPr>
        <w:t>, Silver y Gold), ampliamente utilizado en proyectos modernos de analítica de datos. Este enfoque permite separar claramente las etapas de ingesta, transformación, almacenamiento y consumo de información, facilitando la escalabilidad y el mantenimiento del sistema.</w:t>
      </w:r>
    </w:p>
    <w:p w14:paraId="4D623C5C" w14:textId="77777777" w:rsidR="004274F9" w:rsidRPr="002A5F0F" w:rsidRDefault="00000000">
      <w:pPr>
        <w:pStyle w:val="Ttulo1"/>
        <w:rPr>
          <w:rFonts w:ascii="Times New Roman" w:hAnsi="Times New Roman" w:cs="Times New Roman"/>
          <w:color w:val="auto"/>
          <w:lang w:val="es-EC"/>
        </w:rPr>
      </w:pPr>
      <w:r w:rsidRPr="002A5F0F">
        <w:rPr>
          <w:rFonts w:ascii="Times New Roman" w:hAnsi="Times New Roman" w:cs="Times New Roman"/>
          <w:color w:val="auto"/>
          <w:lang w:val="es-EC"/>
        </w:rPr>
        <w:t>3. Fuentes de datos utilizadas</w:t>
      </w:r>
    </w:p>
    <w:p w14:paraId="4CB271BC" w14:textId="77777777" w:rsidR="004274F9" w:rsidRPr="002A5F0F" w:rsidRDefault="00000000">
      <w:pPr>
        <w:rPr>
          <w:rFonts w:ascii="Times New Roman" w:hAnsi="Times New Roman" w:cs="Times New Roman"/>
          <w:lang w:val="es-EC"/>
        </w:rPr>
      </w:pPr>
      <w:r w:rsidRPr="002A5F0F">
        <w:rPr>
          <w:rFonts w:ascii="Times New Roman" w:hAnsi="Times New Roman" w:cs="Times New Roman"/>
          <w:lang w:val="es-EC"/>
        </w:rPr>
        <w:t xml:space="preserve">La arquitectura integra datos provenientes de tres bloques principales. El primer bloque corresponde al Banco Central del Ecuador (PIB, PIB per cápita, VAB, petróleo e IEE). El segundo bloque corresponde al INEC, mediante ENEMDU y el Censo 2022. Finalmente, el tercer bloque integra información de </w:t>
      </w:r>
      <w:proofErr w:type="spellStart"/>
      <w:r w:rsidRPr="002A5F0F">
        <w:rPr>
          <w:rFonts w:ascii="Times New Roman" w:hAnsi="Times New Roman" w:cs="Times New Roman"/>
          <w:lang w:val="es-EC"/>
        </w:rPr>
        <w:t>Supercias</w:t>
      </w:r>
      <w:proofErr w:type="spellEnd"/>
      <w:r w:rsidRPr="002A5F0F">
        <w:rPr>
          <w:rFonts w:ascii="Times New Roman" w:hAnsi="Times New Roman" w:cs="Times New Roman"/>
          <w:lang w:val="es-EC"/>
        </w:rPr>
        <w:t xml:space="preserve"> y MINEDUC relacionada con empresas activas, ingresos empresariales y datos educativos. La combinación de estas fuentes permite construir una visión económica, laboral y educativa del país.</w:t>
      </w:r>
    </w:p>
    <w:p w14:paraId="74C20ABE" w14:textId="77777777" w:rsidR="004274F9" w:rsidRPr="002A5F0F" w:rsidRDefault="00000000">
      <w:pPr>
        <w:pStyle w:val="Ttulo1"/>
        <w:rPr>
          <w:rFonts w:ascii="Times New Roman" w:hAnsi="Times New Roman" w:cs="Times New Roman"/>
          <w:color w:val="auto"/>
          <w:lang w:val="es-EC"/>
        </w:rPr>
      </w:pPr>
      <w:r w:rsidRPr="002A5F0F">
        <w:rPr>
          <w:rFonts w:ascii="Times New Roman" w:hAnsi="Times New Roman" w:cs="Times New Roman"/>
          <w:color w:val="auto"/>
          <w:lang w:val="es-EC"/>
        </w:rPr>
        <w:t xml:space="preserve">4. Capa </w:t>
      </w:r>
      <w:proofErr w:type="spellStart"/>
      <w:r w:rsidRPr="002A5F0F">
        <w:rPr>
          <w:rFonts w:ascii="Times New Roman" w:hAnsi="Times New Roman" w:cs="Times New Roman"/>
          <w:color w:val="auto"/>
          <w:lang w:val="es-EC"/>
        </w:rPr>
        <w:t>Bronze</w:t>
      </w:r>
      <w:proofErr w:type="spellEnd"/>
      <w:r w:rsidRPr="002A5F0F">
        <w:rPr>
          <w:rFonts w:ascii="Times New Roman" w:hAnsi="Times New Roman" w:cs="Times New Roman"/>
          <w:color w:val="auto"/>
          <w:lang w:val="es-EC"/>
        </w:rPr>
        <w:t xml:space="preserve"> – Datos crudos</w:t>
      </w:r>
    </w:p>
    <w:p w14:paraId="532305DF" w14:textId="77777777" w:rsidR="004274F9" w:rsidRPr="002A5F0F" w:rsidRDefault="00000000">
      <w:pPr>
        <w:rPr>
          <w:rFonts w:ascii="Times New Roman" w:hAnsi="Times New Roman" w:cs="Times New Roman"/>
          <w:lang w:val="es-EC"/>
        </w:rPr>
      </w:pPr>
      <w:r w:rsidRPr="002A5F0F">
        <w:rPr>
          <w:rFonts w:ascii="Times New Roman" w:hAnsi="Times New Roman" w:cs="Times New Roman"/>
          <w:lang w:val="es-EC"/>
        </w:rPr>
        <w:t xml:space="preserve">La capa </w:t>
      </w:r>
      <w:proofErr w:type="spellStart"/>
      <w:r w:rsidRPr="002A5F0F">
        <w:rPr>
          <w:rFonts w:ascii="Times New Roman" w:hAnsi="Times New Roman" w:cs="Times New Roman"/>
          <w:lang w:val="es-EC"/>
        </w:rPr>
        <w:t>Bronze</w:t>
      </w:r>
      <w:proofErr w:type="spellEnd"/>
      <w:r w:rsidRPr="002A5F0F">
        <w:rPr>
          <w:rFonts w:ascii="Times New Roman" w:hAnsi="Times New Roman" w:cs="Times New Roman"/>
          <w:lang w:val="es-EC"/>
        </w:rPr>
        <w:t xml:space="preserve"> almacena los archivos originales obtenidos desde las fuentes oficiales. Durante las primeras semanas del proyecto la descarga se realiza </w:t>
      </w:r>
      <w:proofErr w:type="gramStart"/>
      <w:r w:rsidRPr="002A5F0F">
        <w:rPr>
          <w:rFonts w:ascii="Times New Roman" w:hAnsi="Times New Roman" w:cs="Times New Roman"/>
          <w:lang w:val="es-EC"/>
        </w:rPr>
        <w:t>manualmente y posteriormente</w:t>
      </w:r>
      <w:proofErr w:type="gramEnd"/>
      <w:r w:rsidRPr="002A5F0F">
        <w:rPr>
          <w:rFonts w:ascii="Times New Roman" w:hAnsi="Times New Roman" w:cs="Times New Roman"/>
          <w:lang w:val="es-EC"/>
        </w:rPr>
        <w:t xml:space="preserve"> los archivos son recibidos desde un pipeline de RPA. Esta capa actúa como un repositorio de respaldo que conserva los datos sin modificaciones, garantizando trazabilidad y permitiendo repetir el procesamiento cuando sea necesario.</w:t>
      </w:r>
    </w:p>
    <w:p w14:paraId="01A516C1" w14:textId="77777777" w:rsidR="004274F9" w:rsidRPr="002A5F0F" w:rsidRDefault="00000000">
      <w:pPr>
        <w:pStyle w:val="Ttulo1"/>
        <w:rPr>
          <w:rFonts w:ascii="Times New Roman" w:hAnsi="Times New Roman" w:cs="Times New Roman"/>
          <w:color w:val="auto"/>
          <w:lang w:val="es-EC"/>
        </w:rPr>
      </w:pPr>
      <w:r w:rsidRPr="002A5F0F">
        <w:rPr>
          <w:rFonts w:ascii="Times New Roman" w:hAnsi="Times New Roman" w:cs="Times New Roman"/>
          <w:color w:val="auto"/>
          <w:lang w:val="es-EC"/>
        </w:rPr>
        <w:lastRenderedPageBreak/>
        <w:t>5. Procesos ETL y decisiones de limpieza</w:t>
      </w:r>
    </w:p>
    <w:p w14:paraId="35669C51" w14:textId="77777777" w:rsidR="004274F9" w:rsidRPr="002A5F0F" w:rsidRDefault="00000000">
      <w:pPr>
        <w:rPr>
          <w:rFonts w:ascii="Times New Roman" w:hAnsi="Times New Roman" w:cs="Times New Roman"/>
          <w:lang w:val="es-EC"/>
        </w:rPr>
      </w:pPr>
      <w:r w:rsidRPr="002A5F0F">
        <w:rPr>
          <w:rFonts w:ascii="Times New Roman" w:hAnsi="Times New Roman" w:cs="Times New Roman"/>
          <w:lang w:val="es-EC"/>
        </w:rPr>
        <w:t xml:space="preserve">Los procesos ETL son desarrollados mediante Python y tienen como finalidad mejorar la calidad de los datos. Las principales transformaciones incluyen la estandarización de nombres de columnas, tratamiento de valores nulos, eliminación de duplicados, conversión de tipos de datos y normalización de estructuras complejas. Por ejemplo, la fuente ENEMDU requiere un proceso de normalización mediante </w:t>
      </w:r>
      <w:proofErr w:type="spellStart"/>
      <w:proofErr w:type="gramStart"/>
      <w:r w:rsidRPr="002A5F0F">
        <w:rPr>
          <w:rFonts w:ascii="Times New Roman" w:hAnsi="Times New Roman" w:cs="Times New Roman"/>
          <w:lang w:val="es-EC"/>
        </w:rPr>
        <w:t>melt</w:t>
      </w:r>
      <w:proofErr w:type="spellEnd"/>
      <w:r w:rsidRPr="002A5F0F">
        <w:rPr>
          <w:rFonts w:ascii="Times New Roman" w:hAnsi="Times New Roman" w:cs="Times New Roman"/>
          <w:lang w:val="es-EC"/>
        </w:rPr>
        <w:t>(</w:t>
      </w:r>
      <w:proofErr w:type="gramEnd"/>
      <w:r w:rsidRPr="002A5F0F">
        <w:rPr>
          <w:rFonts w:ascii="Times New Roman" w:hAnsi="Times New Roman" w:cs="Times New Roman"/>
          <w:lang w:val="es-EC"/>
        </w:rPr>
        <w:t>) para convertir una estructura pivotada en un formato adecuado para análisis. Estas decisiones garantizan consistencia y facilitan la integración de información entre diferentes fuentes.</w:t>
      </w:r>
    </w:p>
    <w:p w14:paraId="3C879DBA" w14:textId="77777777" w:rsidR="004274F9" w:rsidRPr="002A5F0F" w:rsidRDefault="00000000">
      <w:pPr>
        <w:pStyle w:val="Ttulo1"/>
        <w:rPr>
          <w:rFonts w:ascii="Times New Roman" w:hAnsi="Times New Roman" w:cs="Times New Roman"/>
          <w:color w:val="auto"/>
          <w:lang w:val="es-EC"/>
        </w:rPr>
      </w:pPr>
      <w:r w:rsidRPr="002A5F0F">
        <w:rPr>
          <w:rFonts w:ascii="Times New Roman" w:hAnsi="Times New Roman" w:cs="Times New Roman"/>
          <w:color w:val="auto"/>
          <w:lang w:val="es-EC"/>
        </w:rPr>
        <w:t>6. Capa Silver – Modelo relacional en PostgreSQL</w:t>
      </w:r>
    </w:p>
    <w:p w14:paraId="39BAC6C2" w14:textId="77777777" w:rsidR="004274F9" w:rsidRPr="002A5F0F" w:rsidRDefault="00000000">
      <w:pPr>
        <w:rPr>
          <w:rFonts w:ascii="Times New Roman" w:hAnsi="Times New Roman" w:cs="Times New Roman"/>
          <w:lang w:val="es-EC"/>
        </w:rPr>
      </w:pPr>
      <w:r w:rsidRPr="002A5F0F">
        <w:rPr>
          <w:rFonts w:ascii="Times New Roman" w:hAnsi="Times New Roman" w:cs="Times New Roman"/>
          <w:lang w:val="es-EC"/>
        </w:rPr>
        <w:t>La capa Silver utiliza PostgreSQL como sistema gestor de bases de datos. En esta etapa los datos ya han sido limpiados y estructurados. El modelo incluye dimensiones de tiempo y geografía, además de tablas de hechos para almacenar indicadores económicos, laborales y empresariales. El uso de claves primarias y foráneas permite mantener la integridad referencial y optimizar las consultas analíticas.</w:t>
      </w:r>
    </w:p>
    <w:p w14:paraId="4D67C051" w14:textId="77777777" w:rsidR="004274F9" w:rsidRPr="002A5F0F" w:rsidRDefault="00000000">
      <w:pPr>
        <w:pStyle w:val="Ttulo1"/>
        <w:rPr>
          <w:rFonts w:ascii="Times New Roman" w:hAnsi="Times New Roman" w:cs="Times New Roman"/>
          <w:color w:val="auto"/>
          <w:lang w:val="es-EC"/>
        </w:rPr>
      </w:pPr>
      <w:r w:rsidRPr="002A5F0F">
        <w:rPr>
          <w:rFonts w:ascii="Times New Roman" w:hAnsi="Times New Roman" w:cs="Times New Roman"/>
          <w:color w:val="auto"/>
          <w:lang w:val="es-EC"/>
        </w:rPr>
        <w:t>7. Capa Gold – Vistas analíticas</w:t>
      </w:r>
    </w:p>
    <w:p w14:paraId="2049B3FA" w14:textId="77777777" w:rsidR="004274F9" w:rsidRPr="002A5F0F" w:rsidRDefault="00000000">
      <w:pPr>
        <w:rPr>
          <w:rFonts w:ascii="Times New Roman" w:hAnsi="Times New Roman" w:cs="Times New Roman"/>
          <w:lang w:val="es-EC"/>
        </w:rPr>
      </w:pPr>
      <w:r w:rsidRPr="002A5F0F">
        <w:rPr>
          <w:rFonts w:ascii="Times New Roman" w:hAnsi="Times New Roman" w:cs="Times New Roman"/>
          <w:lang w:val="es-EC"/>
        </w:rPr>
        <w:t>Sobre el modelo relacional se construyen vistas analíticas orientadas a responder preguntas de negocio. Entre ellas se encuentran la evolución del PIB, las tendencias del empleo, la distribución de empresas por provincia y la relación entre bachilleres y empresas activas. Estas vistas reducen la complejidad de las consultas y proporcionan información lista para ser consumida por herramientas de visualización.</w:t>
      </w:r>
    </w:p>
    <w:p w14:paraId="468A3B69" w14:textId="77777777" w:rsidR="004274F9" w:rsidRPr="002A5F0F" w:rsidRDefault="00000000">
      <w:pPr>
        <w:pStyle w:val="Ttulo1"/>
        <w:rPr>
          <w:rFonts w:ascii="Times New Roman" w:hAnsi="Times New Roman" w:cs="Times New Roman"/>
          <w:color w:val="auto"/>
          <w:lang w:val="es-EC"/>
        </w:rPr>
      </w:pPr>
      <w:r w:rsidRPr="002A5F0F">
        <w:rPr>
          <w:rFonts w:ascii="Times New Roman" w:hAnsi="Times New Roman" w:cs="Times New Roman"/>
          <w:color w:val="auto"/>
          <w:lang w:val="es-EC"/>
        </w:rPr>
        <w:t xml:space="preserve">8. </w:t>
      </w:r>
      <w:proofErr w:type="spellStart"/>
      <w:r w:rsidRPr="002A5F0F">
        <w:rPr>
          <w:rFonts w:ascii="Times New Roman" w:hAnsi="Times New Roman" w:cs="Times New Roman"/>
          <w:color w:val="auto"/>
          <w:lang w:val="es-EC"/>
        </w:rPr>
        <w:t>Dashboard</w:t>
      </w:r>
      <w:proofErr w:type="spellEnd"/>
      <w:r w:rsidRPr="002A5F0F">
        <w:rPr>
          <w:rFonts w:ascii="Times New Roman" w:hAnsi="Times New Roman" w:cs="Times New Roman"/>
          <w:color w:val="auto"/>
          <w:lang w:val="es-EC"/>
        </w:rPr>
        <w:t xml:space="preserve"> y análisis esperado</w:t>
      </w:r>
    </w:p>
    <w:p w14:paraId="401610D3" w14:textId="77777777" w:rsidR="004274F9" w:rsidRPr="002A5F0F" w:rsidRDefault="00000000">
      <w:pPr>
        <w:rPr>
          <w:rFonts w:ascii="Times New Roman" w:hAnsi="Times New Roman" w:cs="Times New Roman"/>
          <w:lang w:val="es-EC"/>
        </w:rPr>
      </w:pPr>
      <w:r w:rsidRPr="002A5F0F">
        <w:rPr>
          <w:rFonts w:ascii="Times New Roman" w:hAnsi="Times New Roman" w:cs="Times New Roman"/>
          <w:lang w:val="es-EC"/>
        </w:rPr>
        <w:t xml:space="preserve">La información consolidada es presentada mediante </w:t>
      </w:r>
      <w:proofErr w:type="spellStart"/>
      <w:r w:rsidRPr="002A5F0F">
        <w:rPr>
          <w:rFonts w:ascii="Times New Roman" w:hAnsi="Times New Roman" w:cs="Times New Roman"/>
          <w:lang w:val="es-EC"/>
        </w:rPr>
        <w:t>Power</w:t>
      </w:r>
      <w:proofErr w:type="spellEnd"/>
      <w:r w:rsidRPr="002A5F0F">
        <w:rPr>
          <w:rFonts w:ascii="Times New Roman" w:hAnsi="Times New Roman" w:cs="Times New Roman"/>
          <w:lang w:val="es-EC"/>
        </w:rPr>
        <w:t xml:space="preserve"> BI. El </w:t>
      </w:r>
      <w:proofErr w:type="spellStart"/>
      <w:r w:rsidRPr="002A5F0F">
        <w:rPr>
          <w:rFonts w:ascii="Times New Roman" w:hAnsi="Times New Roman" w:cs="Times New Roman"/>
          <w:lang w:val="es-EC"/>
        </w:rPr>
        <w:t>dashboard</w:t>
      </w:r>
      <w:proofErr w:type="spellEnd"/>
      <w:r w:rsidRPr="002A5F0F">
        <w:rPr>
          <w:rFonts w:ascii="Times New Roman" w:hAnsi="Times New Roman" w:cs="Times New Roman"/>
          <w:lang w:val="es-EC"/>
        </w:rPr>
        <w:t xml:space="preserve"> responde tres preguntas principales: cómo ha evolucionado la economía ecuatoriana en los últimos años, en qué provincias se concentran la actividad económica y el empleo, y cuál es la relación entre la cantidad de bachilleres y las empresas activas. Este último análisis tiene especial relevancia para la UTPL, ya que permite identificar territorios con potencial demanda de educación superior.</w:t>
      </w:r>
    </w:p>
    <w:p w14:paraId="299034C9" w14:textId="77777777" w:rsidR="004274F9" w:rsidRPr="002A5F0F" w:rsidRDefault="00000000">
      <w:pPr>
        <w:pStyle w:val="Ttulo1"/>
        <w:rPr>
          <w:rFonts w:ascii="Times New Roman" w:hAnsi="Times New Roman" w:cs="Times New Roman"/>
          <w:color w:val="auto"/>
          <w:lang w:val="es-EC"/>
        </w:rPr>
      </w:pPr>
      <w:r w:rsidRPr="002A5F0F">
        <w:rPr>
          <w:rFonts w:ascii="Times New Roman" w:hAnsi="Times New Roman" w:cs="Times New Roman"/>
          <w:color w:val="auto"/>
          <w:lang w:val="es-EC"/>
        </w:rPr>
        <w:t>9. Integración con RPA</w:t>
      </w:r>
    </w:p>
    <w:p w14:paraId="30527B6D" w14:textId="6240C302" w:rsidR="002A5F0F" w:rsidRDefault="00000000">
      <w:pPr>
        <w:rPr>
          <w:rFonts w:ascii="Times New Roman" w:hAnsi="Times New Roman" w:cs="Times New Roman"/>
          <w:lang w:val="es-EC"/>
        </w:rPr>
      </w:pPr>
      <w:r w:rsidRPr="002A5F0F">
        <w:rPr>
          <w:rFonts w:ascii="Times New Roman" w:hAnsi="Times New Roman" w:cs="Times New Roman"/>
          <w:lang w:val="es-EC"/>
        </w:rPr>
        <w:t>La arquitectura contempla la integración con un sistema RPA encargado de depositar automáticamente nuevos archivos en una carpeta definida. El pipeline detecta estos archivos, ejecuta el procesamiento correspondiente y actualiza la base de datos sin intervención manual. Esta automatización reduce errores operativos y mejora la eficiencia del proceso de actualización.</w:t>
      </w:r>
    </w:p>
    <w:p w14:paraId="69861491" w14:textId="77777777" w:rsidR="002A5F0F" w:rsidRPr="002A5F0F" w:rsidRDefault="002A5F0F">
      <w:pPr>
        <w:rPr>
          <w:rFonts w:ascii="Times New Roman" w:hAnsi="Times New Roman" w:cs="Times New Roman"/>
          <w:lang w:val="es-EC"/>
        </w:rPr>
      </w:pPr>
    </w:p>
    <w:p w14:paraId="3F4DB48F" w14:textId="77777777" w:rsidR="004274F9" w:rsidRPr="002A5F0F" w:rsidRDefault="00000000">
      <w:pPr>
        <w:pStyle w:val="Ttulo1"/>
        <w:rPr>
          <w:rFonts w:ascii="Times New Roman" w:hAnsi="Times New Roman" w:cs="Times New Roman"/>
          <w:color w:val="auto"/>
          <w:lang w:val="es-EC"/>
        </w:rPr>
      </w:pPr>
      <w:r w:rsidRPr="002A5F0F">
        <w:rPr>
          <w:rFonts w:ascii="Times New Roman" w:hAnsi="Times New Roman" w:cs="Times New Roman"/>
          <w:color w:val="auto"/>
          <w:lang w:val="es-EC"/>
        </w:rPr>
        <w:lastRenderedPageBreak/>
        <w:t>10. Conclusiones</w:t>
      </w:r>
    </w:p>
    <w:p w14:paraId="2314B0BC" w14:textId="77777777" w:rsidR="004274F9" w:rsidRPr="002A5F0F" w:rsidRDefault="00000000">
      <w:pPr>
        <w:rPr>
          <w:rFonts w:ascii="Times New Roman" w:hAnsi="Times New Roman" w:cs="Times New Roman"/>
          <w:lang w:val="es-EC"/>
        </w:rPr>
      </w:pPr>
      <w:r w:rsidRPr="002A5F0F">
        <w:rPr>
          <w:rFonts w:ascii="Times New Roman" w:hAnsi="Times New Roman" w:cs="Times New Roman"/>
          <w:lang w:val="es-EC"/>
        </w:rPr>
        <w:t xml:space="preserve">La arquitectura propuesta cumple con los requerimientos establecidos en el reto final y proporciona una solución organizada, escalable y reproducible. La utilización del modelo Medallón permite separar las responsabilidades de cada etapa del procesamiento de datos, mientras que PostgreSQL y </w:t>
      </w:r>
      <w:proofErr w:type="spellStart"/>
      <w:r w:rsidRPr="002A5F0F">
        <w:rPr>
          <w:rFonts w:ascii="Times New Roman" w:hAnsi="Times New Roman" w:cs="Times New Roman"/>
          <w:lang w:val="es-EC"/>
        </w:rPr>
        <w:t>Power</w:t>
      </w:r>
      <w:proofErr w:type="spellEnd"/>
      <w:r w:rsidRPr="002A5F0F">
        <w:rPr>
          <w:rFonts w:ascii="Times New Roman" w:hAnsi="Times New Roman" w:cs="Times New Roman"/>
          <w:lang w:val="es-EC"/>
        </w:rPr>
        <w:t xml:space="preserve"> BI facilitan el almacenamiento y análisis de información. Finalmente, la integración con RPA fortalece la automatización del proceso y garantiza una actualización más eficiente del tablero de macroentorno.</w:t>
      </w:r>
    </w:p>
    <w:sectPr w:rsidR="004274F9" w:rsidRPr="002A5F0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70131715">
    <w:abstractNumId w:val="8"/>
  </w:num>
  <w:num w:numId="2" w16cid:durableId="875386164">
    <w:abstractNumId w:val="6"/>
  </w:num>
  <w:num w:numId="3" w16cid:durableId="377780114">
    <w:abstractNumId w:val="5"/>
  </w:num>
  <w:num w:numId="4" w16cid:durableId="733352729">
    <w:abstractNumId w:val="4"/>
  </w:num>
  <w:num w:numId="5" w16cid:durableId="830678243">
    <w:abstractNumId w:val="7"/>
  </w:num>
  <w:num w:numId="6" w16cid:durableId="625744732">
    <w:abstractNumId w:val="3"/>
  </w:num>
  <w:num w:numId="7" w16cid:durableId="1054426908">
    <w:abstractNumId w:val="2"/>
  </w:num>
  <w:num w:numId="8" w16cid:durableId="191112402">
    <w:abstractNumId w:val="1"/>
  </w:num>
  <w:num w:numId="9" w16cid:durableId="148450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A5F0F"/>
    <w:rsid w:val="00326F90"/>
    <w:rsid w:val="004274F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C0DD43"/>
  <w14:defaultImageDpi w14:val="300"/>
  <w15:docId w15:val="{D661E838-53D7-4298-8013-BF18FD9FF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772</Words>
  <Characters>4247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mateo landi</cp:lastModifiedBy>
  <cp:revision>2</cp:revision>
  <dcterms:created xsi:type="dcterms:W3CDTF">2026-06-05T05:26:00Z</dcterms:created>
  <dcterms:modified xsi:type="dcterms:W3CDTF">2026-06-05T05:26:00Z</dcterms:modified>
  <cp:category/>
</cp:coreProperties>
</file>