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584AB" w14:textId="77777777" w:rsidR="00C415A3" w:rsidRDefault="00000000">
      <w:pPr>
        <w:spacing w:after="60"/>
        <w:jc w:val="center"/>
      </w:pPr>
      <w:r>
        <w:rPr>
          <w:b/>
          <w:bCs/>
          <w:sz w:val="32"/>
          <w:szCs w:val="32"/>
        </w:rPr>
        <w:t>Ingeniería de Datos para el Macroentorno Ecuatoriano: Arquitectura Medallón, Gobierno de Datos en PostgreSQL e Integración con Automatización Robótica de Procesos (RPA)</w:t>
      </w:r>
    </w:p>
    <w:p w14:paraId="589F705B" w14:textId="3B831442" w:rsidR="00C415A3" w:rsidRDefault="00711BBA">
      <w:pPr>
        <w:spacing w:after="20"/>
        <w:jc w:val="center"/>
      </w:pPr>
      <w:r>
        <w:rPr>
          <w:sz w:val="22"/>
          <w:szCs w:val="22"/>
        </w:rPr>
        <w:t>Juan Pablo Landi Largo</w:t>
      </w:r>
    </w:p>
    <w:p w14:paraId="77A643E6" w14:textId="77777777" w:rsidR="00C415A3" w:rsidRDefault="00000000">
      <w:pPr>
        <w:spacing w:after="20"/>
        <w:jc w:val="center"/>
      </w:pPr>
      <w:r>
        <w:rPr>
          <w:i/>
          <w:iCs/>
        </w:rPr>
        <w:t>Carrera de Ingeniería en Ciencias de la Computación</w:t>
      </w:r>
    </w:p>
    <w:p w14:paraId="4087BD86" w14:textId="77777777" w:rsidR="00C415A3" w:rsidRDefault="00000000">
      <w:pPr>
        <w:spacing w:after="200"/>
        <w:jc w:val="center"/>
      </w:pPr>
      <w:r>
        <w:rPr>
          <w:i/>
          <w:iCs/>
        </w:rPr>
        <w:t>Universidad Técnica Particular de Loja, Loja, Ecuador</w:t>
      </w:r>
    </w:p>
    <w:p w14:paraId="327E97F8" w14:textId="77777777" w:rsidR="00C415A3" w:rsidRDefault="00000000">
      <w:pPr>
        <w:spacing w:after="120"/>
        <w:jc w:val="both"/>
      </w:pPr>
      <w:r>
        <w:rPr>
          <w:b/>
          <w:bCs/>
          <w:i/>
          <w:iCs/>
        </w:rPr>
        <w:t xml:space="preserve">Resumen— </w:t>
      </w:r>
      <w:r>
        <w:t>El presente artículo describe el diseño e implementación de un pipeline de ingeniería de datos bajo arquitectura medallón (</w:t>
      </w:r>
      <w:proofErr w:type="spellStart"/>
      <w:r>
        <w:t>Bronze</w:t>
      </w:r>
      <w:proofErr w:type="spellEnd"/>
      <w:r>
        <w:t xml:space="preserve">-Silver-Gold) para el Tablero Macroentorno de la Universidad Técnica Particular de Loja (UTPL), desarrollado en el alcance correspondiente a sexto ciclo. El sistema integra diez fuentes públicas del Ecuador agrupadas en tres bloques —Banco Central del Ecuador, Instituto Nacional de Estadística y Censos, y el bloque conjunto de Superintendencia de Compañías y Ministerio de Educación— en un modelo relacional de doce tablas Silver alojado en un motor de producción PostgreSQL, con vistas materializadas y control de acceso basado en roles. Sobre la capa Gold se construyeron seis vistas analíticas —las cuatro definidas como base del reto y dos propuestas adicionales, justificadas para el alcance de sexto ciclo— que alimentan un tablero en </w:t>
      </w:r>
      <w:proofErr w:type="spellStart"/>
      <w:r>
        <w:t>Power</w:t>
      </w:r>
      <w:proofErr w:type="spellEnd"/>
      <w:r>
        <w:t xml:space="preserve"> BI de tres páginas, cada una acompañada de un párrafo de análisis ejecutivo que conecta el hallazgo con la estrategia institucional. A partir de la quinta semana, el pipeline se integró con el proceso de automatización robótica (RPA) desarrollado por el equipo homólogo de esa línea del prácticum, el cual deposita automáticamente los archivos fuente en una carpeta monitoreada, disparando el reprocesamiento sin intervención manual. Se documentan los retos de gobierno de datos, calidad y concurrencia enfrentados, así como las soluciones aplicadas, evidenciando que la combinación de arquitectura por capas, prácticas de </w:t>
      </w:r>
      <w:proofErr w:type="spellStart"/>
      <w:r>
        <w:t>DataOps</w:t>
      </w:r>
      <w:proofErr w:type="spellEnd"/>
      <w:r>
        <w:t xml:space="preserve"> y automatización robótica reduce de forma significativa el esfuerzo de mantenimiento de tableros institucionales alimentados por fuentes públicas heterogéneas.</w:t>
      </w:r>
    </w:p>
    <w:p w14:paraId="3D98DA36" w14:textId="77777777" w:rsidR="00C415A3" w:rsidRDefault="00000000">
      <w:pPr>
        <w:spacing w:after="100"/>
        <w:jc w:val="both"/>
      </w:pPr>
      <w:r>
        <w:rPr>
          <w:b/>
          <w:bCs/>
          <w:i/>
          <w:iCs/>
        </w:rPr>
        <w:t xml:space="preserve">Palabras clave— </w:t>
      </w:r>
      <w:r>
        <w:rPr>
          <w:i/>
          <w:iCs/>
        </w:rPr>
        <w:t xml:space="preserve">ingeniería de datos, arquitectura medallón, PostgreSQL, automatización robótica de procesos (RPA), </w:t>
      </w:r>
      <w:proofErr w:type="spellStart"/>
      <w:r>
        <w:rPr>
          <w:i/>
          <w:iCs/>
        </w:rPr>
        <w:t>DataOps</w:t>
      </w:r>
      <w:proofErr w:type="spellEnd"/>
      <w:r>
        <w:rPr>
          <w:i/>
          <w:iCs/>
        </w:rPr>
        <w:t xml:space="preserve">, calidad de datos, </w:t>
      </w:r>
      <w:proofErr w:type="spellStart"/>
      <w:r>
        <w:rPr>
          <w:i/>
          <w:iCs/>
        </w:rPr>
        <w:t>Power</w:t>
      </w:r>
      <w:proofErr w:type="spellEnd"/>
      <w:r>
        <w:rPr>
          <w:i/>
          <w:iCs/>
        </w:rPr>
        <w:t xml:space="preserve"> BI, macroentorno económico, Ecuador.</w:t>
      </w:r>
    </w:p>
    <w:p w14:paraId="2BF830A5" w14:textId="77777777" w:rsidR="00C415A3" w:rsidRDefault="00C415A3">
      <w:pPr>
        <w:sectPr w:rsidR="00C415A3">
          <w:pgSz w:w="12240" w:h="15840"/>
          <w:pgMar w:top="1080" w:right="900" w:bottom="1080" w:left="900" w:header="708" w:footer="708" w:gutter="0"/>
          <w:cols w:space="720"/>
          <w:docGrid w:linePitch="360"/>
        </w:sectPr>
      </w:pPr>
    </w:p>
    <w:p w14:paraId="6B6EFA69" w14:textId="77777777" w:rsidR="00C415A3" w:rsidRDefault="00000000">
      <w:pPr>
        <w:spacing w:before="200" w:after="100"/>
      </w:pPr>
      <w:r>
        <w:rPr>
          <w:b/>
          <w:bCs/>
        </w:rPr>
        <w:t>I. INTRODUCCIÓN</w:t>
      </w:r>
    </w:p>
    <w:p w14:paraId="1B89917F" w14:textId="77777777" w:rsidR="00C415A3" w:rsidRDefault="00000000">
      <w:pPr>
        <w:spacing w:after="120"/>
        <w:jc w:val="both"/>
      </w:pPr>
      <w:r>
        <w:t>La toma de decisiones estratégicas en instituciones de educación superior depende de información actualizada y confiable sobre el entorno económico, social y educativo en el que operan. En Ecuador, esa información permanece dispersa en fuentes oficiales con formatos, frecuencias y niveles de granularidad geográfica distintos, lo que dificulta su explotación conjunta y obliga a sostener procesos manuales de actualización difíciles de escalar [1]. El presente trabajo documenta el desarrollo, dentro del alcance de sexto ciclo, de un pipeline completo de ingeniería de datos que cubre los tres bloques de fuentes del reto —Banco Central del Ecuador (BCE), Instituto Nacional de Estadística y Censos (INEC) y el bloque conjunto de Superintendencia de Compañías (</w:t>
      </w:r>
      <w:proofErr w:type="spellStart"/>
      <w:r>
        <w:t>Supercías</w:t>
      </w:r>
      <w:proofErr w:type="spellEnd"/>
      <w:r>
        <w:t>) y Ministerio de Educación (</w:t>
      </w:r>
      <w:proofErr w:type="spellStart"/>
      <w:r>
        <w:t>MinEduc</w:t>
      </w:r>
      <w:proofErr w:type="spellEnd"/>
      <w:r>
        <w:t xml:space="preserve">)— bajo una arquitectura medallón alojada en PostgreSQL, con seis vistas Gold, un tablero analítico en </w:t>
      </w:r>
      <w:proofErr w:type="spellStart"/>
      <w:r>
        <w:t>Power</w:t>
      </w:r>
      <w:proofErr w:type="spellEnd"/>
      <w:r>
        <w:t xml:space="preserve"> BI de tres páginas y una integración operativa con el proceso de automatización robótica (RPA) construido por los compañeros responsables de esa línea del prácticum.</w:t>
      </w:r>
    </w:p>
    <w:p w14:paraId="079F78A7" w14:textId="77777777" w:rsidR="00C415A3" w:rsidRDefault="00000000">
      <w:pPr>
        <w:spacing w:after="120"/>
        <w:jc w:val="both"/>
      </w:pPr>
      <w:r>
        <w:t>A diferencia de una implementación de cuarto ciclo, el alcance aquí descrito exige un motor de base de datos de producción con vistas materializadas y control de usuarios, la cobertura completa de las diez fuentes públicas, la propuesta justificada de vistas Gold adicionales y un párrafo de análisis ejecutivo por cada página del tablero, orientado a la toma de decisiones institucionales.</w:t>
      </w:r>
    </w:p>
    <w:p w14:paraId="0BE44509" w14:textId="77777777" w:rsidR="00C415A3" w:rsidRDefault="00000000">
      <w:pPr>
        <w:spacing w:before="200" w:after="100"/>
      </w:pPr>
      <w:r>
        <w:rPr>
          <w:b/>
          <w:bCs/>
        </w:rPr>
        <w:t>II. TRABAJOS RELACIONADOS</w:t>
      </w:r>
    </w:p>
    <w:p w14:paraId="4F391DBF" w14:textId="77777777" w:rsidR="00C415A3" w:rsidRDefault="00000000">
      <w:pPr>
        <w:spacing w:after="120"/>
        <w:jc w:val="both"/>
      </w:pPr>
      <w:r>
        <w:t>La organización de datos en capas progresivas de calidad —</w:t>
      </w:r>
      <w:proofErr w:type="spellStart"/>
      <w:r>
        <w:t>Bronze</w:t>
      </w:r>
      <w:proofErr w:type="spellEnd"/>
      <w:r>
        <w:t xml:space="preserve">, Silver y Gold—, conocida como arquitectura medallón, </w:t>
      </w:r>
      <w:r>
        <w:t xml:space="preserve">se ha consolidado como patrón de referencia en proyectos de ingeniería de datos para pasar de información cruda a vistas de negocio listas para consumo analítico [2], [3]. Reis y </w:t>
      </w:r>
      <w:proofErr w:type="spellStart"/>
      <w:r>
        <w:t>Housley</w:t>
      </w:r>
      <w:proofErr w:type="spellEnd"/>
      <w:r>
        <w:t xml:space="preserve"> enmarcan este patrón dentro del ciclo de vida completo de la ingeniería de datos, que abarca generación, ingesta, transformación, almacenamiento y gobierno de los datos como responsabilidades explícitas del equipo, y no como subproductos accidentales de un proceso analítico [1].</w:t>
      </w:r>
    </w:p>
    <w:p w14:paraId="5D36FA0F" w14:textId="77777777" w:rsidR="00C415A3" w:rsidRDefault="00000000">
      <w:pPr>
        <w:spacing w:after="120"/>
        <w:jc w:val="both"/>
      </w:pPr>
      <w:r>
        <w:t xml:space="preserve">La calidad y confiabilidad de los datos a lo largo de ese ciclo requiere mecanismos explícitos de medición y monitoreo continuo, área en la que la literatura reciente cataloga tanto herramientas comerciales como de código abierto orientadas al perfilamiento, la medición de dimensiones de calidad y el monitoreo automatizado [4]. En paralelo, la metodología </w:t>
      </w:r>
      <w:proofErr w:type="spellStart"/>
      <w:r>
        <w:t>DataOps</w:t>
      </w:r>
      <w:proofErr w:type="spellEnd"/>
      <w:r>
        <w:t xml:space="preserve"> propone tratar los pipelines de datos con las mismas prácticas de control de versiones, pruebas automatizadas y despliegue continuo que DevOps aplica al software, con el fin de reducir el tiempo de ciclo analítico y el riesgo de introducir errores [6]. Finalmente, la Automatización Robótica de Procesos (RPA) —concebida originalmente para automatizar tareas repetitivas de interacción con sistemas empresariales [5]— se ha extendido en los últimos años hacia la extracción y el depósito automatizado de archivos fuente para pipelines analíticos, lo que la sitúa como un habilitador natural de la capa de ingesta (</w:t>
      </w:r>
      <w:proofErr w:type="spellStart"/>
      <w:r>
        <w:t>Bronze</w:t>
      </w:r>
      <w:proofErr w:type="spellEnd"/>
      <w:r>
        <w:t>) en proyectos de ingeniería de datos institucionales [9].</w:t>
      </w:r>
    </w:p>
    <w:p w14:paraId="2123EAD7" w14:textId="77777777" w:rsidR="00C415A3" w:rsidRDefault="00000000">
      <w:pPr>
        <w:spacing w:before="200" w:after="100"/>
      </w:pPr>
      <w:r>
        <w:rPr>
          <w:b/>
          <w:bCs/>
        </w:rPr>
        <w:t>III. JUSTIFICACIÓN DEL ENFOQUE BASADO EN PIPELINE DE DATOS</w:t>
      </w:r>
    </w:p>
    <w:p w14:paraId="79F50854" w14:textId="77777777" w:rsidR="00C415A3" w:rsidRDefault="00000000">
      <w:pPr>
        <w:spacing w:after="120"/>
        <w:jc w:val="both"/>
      </w:pPr>
      <w:r>
        <w:t xml:space="preserve">Antes de adoptar una arquitectura de pipeline con capas </w:t>
      </w:r>
      <w:proofErr w:type="spellStart"/>
      <w:r>
        <w:t>Bronze</w:t>
      </w:r>
      <w:proofErr w:type="spellEnd"/>
      <w:r>
        <w:t xml:space="preserve">-Silver-Gold sobre un motor de producción, se consideraron alternativas más simples, como la conexión </w:t>
      </w:r>
      <w:r>
        <w:lastRenderedPageBreak/>
        <w:t xml:space="preserve">directa de </w:t>
      </w:r>
      <w:proofErr w:type="spellStart"/>
      <w:r>
        <w:t>Power</w:t>
      </w:r>
      <w:proofErr w:type="spellEnd"/>
      <w:r>
        <w:t xml:space="preserve"> BI a los archivos fuente o el mantenimiento de hojas de cálculo intermedias. Ambas fueron descartadas por las razones expuestas a continuación.</w:t>
      </w:r>
    </w:p>
    <w:p w14:paraId="484D70A2" w14:textId="77777777" w:rsidR="00C415A3" w:rsidRDefault="00000000">
      <w:pPr>
        <w:spacing w:before="160" w:after="80"/>
      </w:pPr>
      <w:r>
        <w:rPr>
          <w:b/>
          <w:bCs/>
          <w:i/>
          <w:iCs/>
        </w:rPr>
        <w:t>A. Reproducibilidad y trazabilidad</w:t>
      </w:r>
    </w:p>
    <w:p w14:paraId="5DE6C2E7" w14:textId="77777777" w:rsidR="00C415A3" w:rsidRDefault="00000000">
      <w:pPr>
        <w:spacing w:after="120"/>
        <w:jc w:val="both"/>
      </w:pPr>
      <w:r>
        <w:t>Frente a la alternativa de mantener el tablero mediante actualización manual de hojas de cálculo, un pipeline versionado en código —extracción en Python, transformación y vistas en SQL— documenta explícitamente cada regla de negocio aplicada a los datos [1]. Esto permite reconstruir, para cualquiera de las diez fuentes, la ruta exacta desde el archivo crudo hasta el indicador final, condición necesaria para que un pipeline institucional sobreviva a la rotación de sus responsables.</w:t>
      </w:r>
    </w:p>
    <w:p w14:paraId="78CFFFC4" w14:textId="77777777" w:rsidR="00C415A3" w:rsidRDefault="00000000">
      <w:pPr>
        <w:spacing w:before="160" w:after="80"/>
      </w:pPr>
      <w:r>
        <w:rPr>
          <w:b/>
          <w:bCs/>
          <w:i/>
          <w:iCs/>
        </w:rPr>
        <w:t>B. Separación de responsabilidades entre capas y equipos</w:t>
      </w:r>
    </w:p>
    <w:p w14:paraId="5E93F8F7" w14:textId="77777777" w:rsidR="00C415A3" w:rsidRDefault="00000000">
      <w:pPr>
        <w:spacing w:after="120"/>
        <w:jc w:val="both"/>
      </w:pPr>
      <w:r>
        <w:t xml:space="preserve">La frontera entre </w:t>
      </w:r>
      <w:proofErr w:type="spellStart"/>
      <w:r>
        <w:t>Bronze</w:t>
      </w:r>
      <w:proofErr w:type="spellEnd"/>
      <w:r>
        <w:t xml:space="preserve">, Silver y Gold no solo organiza los datos: también organiza el trabajo. Al aislar la limpieza (Silver) del cálculo de negocio (Gold), fue posible corregir vistas específicas —por ejemplo, la que cruza bachilleres con empresas activas— sin reprocesar la extracción completa de </w:t>
      </w:r>
      <w:proofErr w:type="spellStart"/>
      <w:r>
        <w:t>MinEduc</w:t>
      </w:r>
      <w:proofErr w:type="spellEnd"/>
      <w:r>
        <w:t xml:space="preserve"> o </w:t>
      </w:r>
      <w:proofErr w:type="spellStart"/>
      <w:r>
        <w:t>Supercías</w:t>
      </w:r>
      <w:proofErr w:type="spellEnd"/>
      <w:r>
        <w:t xml:space="preserve">, en línea con la separación de responsabilidades que promueve la metodología </w:t>
      </w:r>
      <w:proofErr w:type="spellStart"/>
      <w:r>
        <w:t>DataOps</w:t>
      </w:r>
      <w:proofErr w:type="spellEnd"/>
      <w:r>
        <w:t xml:space="preserve"> entre generación, transformación y consumo de datos [6]. Esa misma frontera permitió, a partir de la quinta semana, insertar los archivos entregados por el equipo de RPA directamente en la capa </w:t>
      </w:r>
      <w:proofErr w:type="spellStart"/>
      <w:r>
        <w:t>Bronze</w:t>
      </w:r>
      <w:proofErr w:type="spellEnd"/>
      <w:r>
        <w:t xml:space="preserve"> sin modificar el resto del pipeline.</w:t>
      </w:r>
    </w:p>
    <w:p w14:paraId="6DC2F1D2" w14:textId="77777777" w:rsidR="00C415A3" w:rsidRDefault="00000000">
      <w:pPr>
        <w:spacing w:before="160" w:after="80"/>
      </w:pPr>
      <w:r>
        <w:rPr>
          <w:b/>
          <w:bCs/>
          <w:i/>
          <w:iCs/>
        </w:rPr>
        <w:t>C. Escalabilidad ante nuevas fuentes y automatización de la ingesta</w:t>
      </w:r>
    </w:p>
    <w:p w14:paraId="6AC3FA2D" w14:textId="77777777" w:rsidR="00C415A3" w:rsidRDefault="00000000">
      <w:pPr>
        <w:spacing w:after="120"/>
        <w:jc w:val="both"/>
      </w:pPr>
      <w:r>
        <w:t xml:space="preserve">Las diez fuentes utilizadas se actualizan con periodicidades distintas —diaria en el precio del petróleo y el riesgo país, mensual en el Índice de Expectativas Empresariales, anual en el PIB real y estática en el Censo 2022—. Sostener esa cadencia mediante descarga manual es viable solo en las primeras semanas del reto; de ahí que incorporar un componente de automatización robótica —desarrollado por el equipo de RPA del prácticum— para depositar los archivos fuente en la carpeta de ingesta resulte consistente con la tendencia documentada hacia la llamada automatización robótica de datos, que aplica a los pipelines analíticos la misma lógica de </w:t>
      </w:r>
      <w:proofErr w:type="spellStart"/>
      <w:r>
        <w:t>bots</w:t>
      </w:r>
      <w:proofErr w:type="spellEnd"/>
      <w:r>
        <w:t xml:space="preserve"> que ya transformó la automatización de procesos administrativos [5], [9]. Un pipeline preparado para recibir archivos automáticos, en lugar de asumir siempre la descarga manual, evita rediseñar el modelo relacional cada vez que cambia el origen de un archivo.</w:t>
      </w:r>
    </w:p>
    <w:p w14:paraId="7B6177F8" w14:textId="77777777" w:rsidR="00C415A3" w:rsidRDefault="00000000">
      <w:pPr>
        <w:spacing w:before="160" w:after="80"/>
      </w:pPr>
      <w:r>
        <w:rPr>
          <w:b/>
          <w:bCs/>
          <w:i/>
          <w:iCs/>
        </w:rPr>
        <w:t>D. Consistencia entre consumidores mediante una capa Gold única</w:t>
      </w:r>
    </w:p>
    <w:p w14:paraId="65446D50" w14:textId="77777777" w:rsidR="00C415A3" w:rsidRDefault="00000000">
      <w:pPr>
        <w:spacing w:after="120"/>
        <w:jc w:val="both"/>
      </w:pPr>
      <w:r>
        <w:t xml:space="preserve">Centralizar la lógica de negocio en vistas SQL de la capa Gold garantiza que </w:t>
      </w:r>
      <w:proofErr w:type="spellStart"/>
      <w:r>
        <w:t>Power</w:t>
      </w:r>
      <w:proofErr w:type="spellEnd"/>
      <w:r>
        <w:t xml:space="preserve"> BI, o cualquier otra herramienta de consumo futura, obtenga la misma definición de cada indicador. La alternativa —que cada consumidor calcule sus propias medidas sin una capa Gold subyacente— es señalada en la literatura sobre calidad de datos como fuente frecuente de desconfianza en los reportes de una organización cuando no existe gobierno de datos centralizado [4].</w:t>
      </w:r>
    </w:p>
    <w:p w14:paraId="0D227899" w14:textId="77777777" w:rsidR="00C415A3" w:rsidRDefault="00000000">
      <w:pPr>
        <w:spacing w:before="160" w:after="80"/>
      </w:pPr>
      <w:r>
        <w:rPr>
          <w:b/>
          <w:bCs/>
          <w:i/>
          <w:iCs/>
        </w:rPr>
        <w:t>E. Costo de mantenimiento y gobierno de datos en un motor de producción</w:t>
      </w:r>
    </w:p>
    <w:p w14:paraId="7E793396" w14:textId="77777777" w:rsidR="00C415A3" w:rsidRDefault="00000000">
      <w:pPr>
        <w:spacing w:after="120"/>
        <w:jc w:val="both"/>
      </w:pPr>
      <w:r>
        <w:t>El uso de PostgreSQL como motor de producción, en lugar de un motor embebido, es la diferencia central del alcance de sexto ciclo: exige definir vistas materializadas para las consultas de mayor costo y roles de acceso diferenciados de lectura y escritura por esquema, de modo que el tablero y los procesos de carga no compitan por los mismos privilegios [1], [10]. El costo inicial de esta configuración es mayor que el de una base de datos de archivo único, pero reduce el esfuerzo de mantenimiento posterior, algo evidenciado cuando la corrección de una vista Gold se resolvió modificando un único script SQL reutilizable.</w:t>
      </w:r>
    </w:p>
    <w:p w14:paraId="0ABCEF91" w14:textId="77777777" w:rsidR="00C415A3" w:rsidRDefault="00000000">
      <w:pPr>
        <w:spacing w:before="200" w:after="100"/>
      </w:pPr>
      <w:r>
        <w:rPr>
          <w:b/>
          <w:bCs/>
        </w:rPr>
        <w:t>IV. ARQUITECTURA DEL SISTEMA</w:t>
      </w:r>
    </w:p>
    <w:p w14:paraId="0D3F3AB6" w14:textId="77777777" w:rsidR="00C415A3" w:rsidRDefault="00000000">
      <w:pPr>
        <w:spacing w:before="160" w:after="80"/>
      </w:pPr>
      <w:r>
        <w:rPr>
          <w:b/>
          <w:bCs/>
          <w:i/>
          <w:iCs/>
        </w:rPr>
        <w:t>A. Arquitectura medallón de tres capas</w:t>
      </w:r>
    </w:p>
    <w:p w14:paraId="4DBC11F6" w14:textId="77777777" w:rsidR="00C415A3" w:rsidRDefault="00000000">
      <w:pPr>
        <w:spacing w:after="120"/>
        <w:jc w:val="both"/>
      </w:pPr>
      <w:r>
        <w:t xml:space="preserve">El sistema conserva la organización estándar en tres capas [2], [3]. La capa </w:t>
      </w:r>
      <w:proofErr w:type="spellStart"/>
      <w:r>
        <w:t>Bronze</w:t>
      </w:r>
      <w:proofErr w:type="spellEnd"/>
      <w:r>
        <w:t xml:space="preserve"> almacena, sin transformación, los archivos crudos de las diez fuentes distribuidas en tres bloques: (i) Banco Central del Ecuador —PIB real anual, PIB per cápita nominal, valor agregado bruto (VAB) por provincia y cantón, precio del petróleo WTI y riesgo país, e Índice de Expectativas Empresariales (IEE)—; (</w:t>
      </w:r>
      <w:proofErr w:type="spellStart"/>
      <w:r>
        <w:t>ii</w:t>
      </w:r>
      <w:proofErr w:type="spellEnd"/>
      <w:r>
        <w:t>) INEC —Encuesta Nacional de Empleo, Desempleo y Subempleo (ENEMDU) y Censo 2022 por rama de actividad—; y (</w:t>
      </w:r>
      <w:proofErr w:type="spellStart"/>
      <w:r>
        <w:t>iii</w:t>
      </w:r>
      <w:proofErr w:type="spellEnd"/>
      <w:r>
        <w:t xml:space="preserve">) el bloque conjunto de </w:t>
      </w:r>
      <w:proofErr w:type="spellStart"/>
      <w:r>
        <w:t>Supercías</w:t>
      </w:r>
      <w:proofErr w:type="spellEnd"/>
      <w:r>
        <w:t xml:space="preserve"> —ranking de empresas y directorio de compañías— y </w:t>
      </w:r>
      <w:proofErr w:type="spellStart"/>
      <w:r>
        <w:t>MinEduc</w:t>
      </w:r>
      <w:proofErr w:type="spellEnd"/>
      <w:r>
        <w:t xml:space="preserve"> —sistema AMIE 2023-2024—. La capa Silver contiene doce tablas relacionales </w:t>
      </w:r>
      <w:proofErr w:type="spellStart"/>
      <w:r>
        <w:t>tipadas</w:t>
      </w:r>
      <w:proofErr w:type="spellEnd"/>
      <w:r>
        <w:t xml:space="preserve"> y estandarizadas, incluyendo las dimensiones compartidas de geografía, tiempo y clasificación industrial (CIIU) que permiten cruzar VAB, Censo y </w:t>
      </w:r>
      <w:proofErr w:type="spellStart"/>
      <w:r>
        <w:t>Supercías</w:t>
      </w:r>
      <w:proofErr w:type="spellEnd"/>
      <w:r>
        <w:t xml:space="preserve"> por CIIU, y </w:t>
      </w:r>
      <w:proofErr w:type="spellStart"/>
      <w:r>
        <w:t>Supercías</w:t>
      </w:r>
      <w:proofErr w:type="spellEnd"/>
      <w:r>
        <w:t xml:space="preserve"> con </w:t>
      </w:r>
      <w:proofErr w:type="spellStart"/>
      <w:r>
        <w:t>MinEduc</w:t>
      </w:r>
      <w:proofErr w:type="spellEnd"/>
      <w:r>
        <w:t xml:space="preserve"> por provincia. La capa Gold expone seis vistas de negocio listas para ser consumidas directamente por el tablero analítico.</w:t>
      </w:r>
    </w:p>
    <w:p w14:paraId="4309ECE6" w14:textId="77777777" w:rsidR="00C415A3" w:rsidRDefault="00000000">
      <w:pPr>
        <w:spacing w:before="160" w:after="80"/>
      </w:pPr>
      <w:r>
        <w:rPr>
          <w:b/>
          <w:bCs/>
          <w:i/>
          <w:iCs/>
        </w:rPr>
        <w:t>B. Modelo relacional y gobierno de datos en PostgreSQL</w:t>
      </w:r>
    </w:p>
    <w:p w14:paraId="6ED207EC" w14:textId="77777777" w:rsidR="00C415A3" w:rsidRDefault="00000000">
      <w:pPr>
        <w:spacing w:after="120"/>
        <w:jc w:val="both"/>
      </w:pPr>
      <w:r>
        <w:t xml:space="preserve">A diferencia de una implementación sobre un motor embebido, el modelo relacional se aloja en un esquema de producción de PostgreSQL organizado en los espacios </w:t>
      </w:r>
      <w:proofErr w:type="spellStart"/>
      <w:r>
        <w:t>silver</w:t>
      </w:r>
      <w:proofErr w:type="spellEnd"/>
      <w:r>
        <w:t xml:space="preserve"> y </w:t>
      </w:r>
      <w:proofErr w:type="spellStart"/>
      <w:r>
        <w:t>gold</w:t>
      </w:r>
      <w:proofErr w:type="spellEnd"/>
      <w:r>
        <w:t xml:space="preserve">. Las vistas Gold de mayor costo computacional —en particular las que agregan VAB y empleo por provincia— se materializaron para evitar recalcular la agregación en cada apertura del tablero, y se definieron roles diferenciados de solo lectura para el consumo desde </w:t>
      </w:r>
      <w:proofErr w:type="spellStart"/>
      <w:r>
        <w:t>Power</w:t>
      </w:r>
      <w:proofErr w:type="spellEnd"/>
      <w:r>
        <w:t xml:space="preserve"> BI y de lectura-escritura para el proceso de carga, de manera que un fallo en la actualización de datos no comprometa la disponibilidad del tablero para los usuarios finales [10]. Esta separación de privilegios por rol es una práctica de gobierno de datos recomendada por quienes documentan el ciclo de vida completo de un sistema de datos, más allá de su sola construcción [1].</w:t>
      </w:r>
    </w:p>
    <w:p w14:paraId="0A86D6CF" w14:textId="77777777" w:rsidR="00C415A3" w:rsidRDefault="00000000">
      <w:pPr>
        <w:spacing w:before="160" w:after="80"/>
      </w:pPr>
      <w:r>
        <w:rPr>
          <w:b/>
          <w:bCs/>
          <w:i/>
          <w:iCs/>
        </w:rPr>
        <w:t>C. Integración con el equipo de RPA</w:t>
      </w:r>
    </w:p>
    <w:p w14:paraId="71EB703A" w14:textId="77777777" w:rsidR="00C415A3" w:rsidRDefault="00000000">
      <w:pPr>
        <w:spacing w:after="120"/>
        <w:jc w:val="both"/>
      </w:pPr>
      <w:r>
        <w:t xml:space="preserve">El componente diferenciador de esta implementación frente a versiones previas del pipeline es la integración operativa con el proceso de Automatización Robótica de Procesos desarrollado por los compañeros responsables de esa línea del prácticum. A partir de la quinta semana, un robot de software —construido y mantenido por el equipo de RPA— descarga automáticamente los archivos de las nueve fuentes vivas (todas salvo el Censo 2022, que es estático) desde los portales del BCE, INEC, </w:t>
      </w:r>
      <w:proofErr w:type="spellStart"/>
      <w:r>
        <w:t>Supercías</w:t>
      </w:r>
      <w:proofErr w:type="spellEnd"/>
      <w:r>
        <w:t xml:space="preserve"> y </w:t>
      </w:r>
      <w:proofErr w:type="spellStart"/>
      <w:r>
        <w:t>MinEduc</w:t>
      </w:r>
      <w:proofErr w:type="spellEnd"/>
      <w:r>
        <w:t xml:space="preserve">, y los deposita en subcarpetas de la ruta </w:t>
      </w:r>
      <w:r>
        <w:lastRenderedPageBreak/>
        <w:t xml:space="preserve">compartida </w:t>
      </w:r>
      <w:proofErr w:type="spellStart"/>
      <w:r>
        <w:t>datos_macroentorno</w:t>
      </w:r>
      <w:proofErr w:type="spellEnd"/>
      <w:r>
        <w:t xml:space="preserve">/, siguiendo una convención de nombre acordada entre ambos equipos (fuente y fecha, por ejemplo pib_real_20260512.xlsx). El acuerdo de integración, firmado en la semana 4, definió además el nombre exacto de las subcarpetas por fuente y el canal de notificación que el </w:t>
      </w:r>
      <w:proofErr w:type="spellStart"/>
      <w:r>
        <w:t>bot</w:t>
      </w:r>
      <w:proofErr w:type="spellEnd"/>
      <w:r>
        <w:t xml:space="preserve"> de RPA utiliza para avisar al pipeline de datos cuando deposita un archivo nuevo.</w:t>
      </w:r>
    </w:p>
    <w:p w14:paraId="703D67A4" w14:textId="77777777" w:rsidR="00C415A3" w:rsidRDefault="00000000">
      <w:pPr>
        <w:spacing w:after="120"/>
        <w:jc w:val="both"/>
      </w:pPr>
      <w:r>
        <w:t xml:space="preserve">Del lado de ingeniería de datos, el script pipeline.py monitorea esa carpeta, valida que el archivo cumpla la convención de nombre acordada y dispara automáticamente la etapa de extracción y carga correspondiente a esa fuente, sin intervención manual. Este patrón —donde un proceso de RPA alimenta la capa </w:t>
      </w:r>
      <w:proofErr w:type="spellStart"/>
      <w:r>
        <w:t>Bronze</w:t>
      </w:r>
      <w:proofErr w:type="spellEnd"/>
      <w:r>
        <w:t xml:space="preserve"> de un pipeline analítico— corresponde a lo que la literatura reciente describe como una extensión natural de la automatización robótica hacia la ingesta de datos [5], [9], y permitió que la actualización del tablero dejara de depender de que una persona recordara descargar manualmente los archivos fuente cada semana.</w:t>
      </w:r>
    </w:p>
    <w:p w14:paraId="7EBDE11B" w14:textId="77777777" w:rsidR="00C415A3" w:rsidRDefault="00000000">
      <w:pPr>
        <w:spacing w:before="200" w:after="100"/>
      </w:pPr>
      <w:r>
        <w:rPr>
          <w:b/>
          <w:bCs/>
        </w:rPr>
        <w:t>V. IMPLEMENTACIÓN</w:t>
      </w:r>
    </w:p>
    <w:p w14:paraId="5571C39D" w14:textId="77777777" w:rsidR="00C415A3" w:rsidRDefault="00000000">
      <w:pPr>
        <w:spacing w:before="160" w:after="80"/>
      </w:pPr>
      <w:r>
        <w:rPr>
          <w:b/>
          <w:bCs/>
          <w:i/>
          <w:iCs/>
        </w:rPr>
        <w:t>A. Extracción y limpieza de las diez fuentes</w:t>
      </w:r>
    </w:p>
    <w:p w14:paraId="086A5327" w14:textId="77777777" w:rsidR="00C415A3" w:rsidRDefault="00000000">
      <w:pPr>
        <w:spacing w:after="120"/>
        <w:jc w:val="both"/>
      </w:pPr>
      <w:r>
        <w:t>La extracción y limpieza se automatizó con scripts en Python organizados por bloque (</w:t>
      </w:r>
      <w:proofErr w:type="spellStart"/>
      <w:r>
        <w:t>transform</w:t>
      </w:r>
      <w:proofErr w:type="spellEnd"/>
      <w:r>
        <w:t xml:space="preserve">/bce.py, </w:t>
      </w:r>
      <w:proofErr w:type="spellStart"/>
      <w:r>
        <w:t>transform</w:t>
      </w:r>
      <w:proofErr w:type="spellEnd"/>
      <w:r>
        <w:t xml:space="preserve">/inec.py, </w:t>
      </w:r>
      <w:proofErr w:type="spellStart"/>
      <w:r>
        <w:t>transform</w:t>
      </w:r>
      <w:proofErr w:type="spellEnd"/>
      <w:r>
        <w:t xml:space="preserve">/supercias.py, </w:t>
      </w:r>
      <w:proofErr w:type="spellStart"/>
      <w:r>
        <w:t>transform</w:t>
      </w:r>
      <w:proofErr w:type="spellEnd"/>
      <w:r>
        <w:t xml:space="preserve">/mineduc.py), apoyados en la biblioteca pandas para el tratamiento de nulos, duplicados y tipos de dato [7]. Entre las particularidades resueltas destacan: la lectura del PIB real con el motor </w:t>
      </w:r>
      <w:proofErr w:type="spellStart"/>
      <w:r>
        <w:t>openpyxl</w:t>
      </w:r>
      <w:proofErr w:type="spellEnd"/>
      <w:r>
        <w:t xml:space="preserve"> conservando el valor nulo legítimo del primer año de la serie; la conversión de fechas de texto a tipo date en el IEE mensual; la normalización de la encuesta ENEMDU —originalmente pivotada, con un indicador por fila y las áreas nacional, urbana y rural como columnas— mediante la función </w:t>
      </w:r>
      <w:proofErr w:type="spellStart"/>
      <w:r>
        <w:t>melt</w:t>
      </w:r>
      <w:proofErr w:type="spellEnd"/>
      <w:r>
        <w:t xml:space="preserve">() de pandas; y la lectura del archivo AMIE de </w:t>
      </w:r>
      <w:proofErr w:type="spellStart"/>
      <w:r>
        <w:t>MinEduc</w:t>
      </w:r>
      <w:proofErr w:type="spellEnd"/>
      <w:r>
        <w:t xml:space="preserve"> con separador punto y coma y codificación latin-1, filtrando por nivel de bachillerato y último grado para construir el indicador de bachilleres por provincia.</w:t>
      </w:r>
    </w:p>
    <w:p w14:paraId="7204AEF8" w14:textId="77777777" w:rsidR="00C415A3" w:rsidRDefault="00000000">
      <w:pPr>
        <w:spacing w:before="160" w:after="80"/>
      </w:pPr>
      <w:r>
        <w:rPr>
          <w:b/>
          <w:bCs/>
          <w:i/>
          <w:iCs/>
        </w:rPr>
        <w:t>B. Modelo relacional Silver</w:t>
      </w:r>
    </w:p>
    <w:p w14:paraId="38B95BF3" w14:textId="77777777" w:rsidR="00C415A3" w:rsidRDefault="00000000">
      <w:pPr>
        <w:spacing w:after="120"/>
        <w:jc w:val="both"/>
      </w:pPr>
      <w:r>
        <w:t xml:space="preserve">Sobre las dimensiones compartidas </w:t>
      </w:r>
      <w:proofErr w:type="spellStart"/>
      <w:r>
        <w:t>dim_geografia</w:t>
      </w:r>
      <w:proofErr w:type="spellEnd"/>
      <w:r>
        <w:t xml:space="preserve"> y </w:t>
      </w:r>
      <w:proofErr w:type="spellStart"/>
      <w:r>
        <w:t>dim_tiempo</w:t>
      </w:r>
      <w:proofErr w:type="spellEnd"/>
      <w:r>
        <w:t xml:space="preserve"> se construyeron las tablas de hechos correspondientes a los tres bloques: </w:t>
      </w:r>
      <w:proofErr w:type="spellStart"/>
      <w:r>
        <w:t>fact_macro_anual</w:t>
      </w:r>
      <w:proofErr w:type="spellEnd"/>
      <w:r>
        <w:t xml:space="preserve"> y </w:t>
      </w:r>
      <w:proofErr w:type="spellStart"/>
      <w:r>
        <w:t>fact_indicadores_diarios</w:t>
      </w:r>
      <w:proofErr w:type="spellEnd"/>
      <w:r>
        <w:t xml:space="preserve"> para el BCE, </w:t>
      </w:r>
      <w:proofErr w:type="spellStart"/>
      <w:r>
        <w:t>fact_empleo</w:t>
      </w:r>
      <w:proofErr w:type="spellEnd"/>
      <w:r>
        <w:t xml:space="preserve"> para el ENEMDU, y las tablas equivalentes para VAB, IEE, </w:t>
      </w:r>
      <w:proofErr w:type="spellStart"/>
      <w:r>
        <w:t>Supercías</w:t>
      </w:r>
      <w:proofErr w:type="spellEnd"/>
      <w:r>
        <w:t xml:space="preserve"> y </w:t>
      </w:r>
      <w:proofErr w:type="spellStart"/>
      <w:r>
        <w:t>MinEduc</w:t>
      </w:r>
      <w:proofErr w:type="spellEnd"/>
      <w:r>
        <w:t xml:space="preserve">, alcanzando el mínimo de doce tablas Silver exigido para sexto ciclo. El cruce entre </w:t>
      </w:r>
      <w:proofErr w:type="spellStart"/>
      <w:r>
        <w:t>Supercías</w:t>
      </w:r>
      <w:proofErr w:type="spellEnd"/>
      <w:r>
        <w:t xml:space="preserve"> y </w:t>
      </w:r>
      <w:proofErr w:type="spellStart"/>
      <w:r>
        <w:t>MinEduc</w:t>
      </w:r>
      <w:proofErr w:type="spellEnd"/>
      <w:r>
        <w:t xml:space="preserve"> —cargadas a nivel de provincia, mientras que el VAB se cargó también a nivel de cantón— se resolvió emparejando por el atributo de texto compartido (nombre de provincia) en lugar del identificador numérico de geografía, evitando la pérdida de registros que se produce cuando dos fuentes describen la misma entidad territorial a niveles de detalle distintos [8].</w:t>
      </w:r>
    </w:p>
    <w:p w14:paraId="3A095CDC" w14:textId="77777777" w:rsidR="00C415A3" w:rsidRDefault="00000000">
      <w:pPr>
        <w:spacing w:before="160" w:after="80"/>
      </w:pPr>
      <w:r>
        <w:rPr>
          <w:b/>
          <w:bCs/>
          <w:i/>
          <w:iCs/>
        </w:rPr>
        <w:t>C. Vistas Gold: las cuatro vistas base y dos vistas propuestas</w:t>
      </w:r>
    </w:p>
    <w:p w14:paraId="143C26C3" w14:textId="77777777" w:rsidR="00C415A3" w:rsidRDefault="00000000">
      <w:pPr>
        <w:spacing w:after="120"/>
        <w:jc w:val="both"/>
      </w:pPr>
      <w:r>
        <w:t xml:space="preserve">Sobre la capa Silver se construyeron las cuatro vistas Gold definidas como base del reto: </w:t>
      </w:r>
      <w:proofErr w:type="spellStart"/>
      <w:r>
        <w:t>gold_pib_tendencia</w:t>
      </w:r>
      <w:proofErr w:type="spellEnd"/>
      <w:r>
        <w:t xml:space="preserve">, que clasifica cada año en un ciclo económico a partir de la variación porcentual del PIB; </w:t>
      </w:r>
      <w:proofErr w:type="spellStart"/>
      <w:r>
        <w:t>gold_empleo_tendencia</w:t>
      </w:r>
      <w:proofErr w:type="spellEnd"/>
      <w:r>
        <w:t xml:space="preserve">, con la serie trimestral de desempleo del ENEMDU; gold_petroleo_30dias, </w:t>
      </w:r>
      <w:r>
        <w:t xml:space="preserve">con el promedio móvil de 30 días del WTI; y </w:t>
      </w:r>
      <w:proofErr w:type="spellStart"/>
      <w:r>
        <w:t>gold_empresas_provincia</w:t>
      </w:r>
      <w:proofErr w:type="spellEnd"/>
      <w:r>
        <w:t>, con empresas activas e ingresos agregados por provincia.</w:t>
      </w:r>
    </w:p>
    <w:p w14:paraId="62A7BB37" w14:textId="77777777" w:rsidR="00C415A3" w:rsidRDefault="00000000">
      <w:pPr>
        <w:spacing w:after="120"/>
        <w:jc w:val="both"/>
      </w:pPr>
      <w:r>
        <w:t xml:space="preserve">A estas se añadieron, conforme exige el alcance de sexto ciclo, dos vistas Gold adicionales propuestas y justificadas por el equipo: </w:t>
      </w:r>
      <w:proofErr w:type="spellStart"/>
      <w:r>
        <w:t>gold_bachilleres_vs_empresas</w:t>
      </w:r>
      <w:proofErr w:type="spellEnd"/>
      <w:r>
        <w:t xml:space="preserve">, que relaciona bachilleres de tercer año con empresas activas por provincia y sustenta la pregunta P3 del tablero; y </w:t>
      </w:r>
      <w:proofErr w:type="spellStart"/>
      <w:r>
        <w:t>gold_expectativas_vs_ciclo</w:t>
      </w:r>
      <w:proofErr w:type="spellEnd"/>
      <w:r>
        <w:t xml:space="preserve">, que cruza el IEE mensual con la clasificación de ciclo económico de </w:t>
      </w:r>
      <w:proofErr w:type="spellStart"/>
      <w:r>
        <w:t>gold_pib_tendencia</w:t>
      </w:r>
      <w:proofErr w:type="spellEnd"/>
      <w:r>
        <w:t>, permitiendo contrastar si la percepción empresarial de corto plazo anticipa o se rezaga frente al ciclo real del PIB, contraste no cubierto por ninguna de las cuatro vistas base y de utilidad directa para el análisis ejecutivo de la página P1.</w:t>
      </w:r>
    </w:p>
    <w:p w14:paraId="57C6058B" w14:textId="77777777" w:rsidR="00C415A3" w:rsidRDefault="00000000">
      <w:pPr>
        <w:spacing w:before="160" w:after="80"/>
      </w:pPr>
      <w:r>
        <w:rPr>
          <w:b/>
          <w:bCs/>
          <w:i/>
          <w:iCs/>
        </w:rPr>
        <w:t>D. Calidad y monitoreo continuo de los datos</w:t>
      </w:r>
    </w:p>
    <w:p w14:paraId="62CF9A28" w14:textId="77777777" w:rsidR="00C415A3" w:rsidRDefault="00000000">
      <w:pPr>
        <w:spacing w:after="120"/>
        <w:jc w:val="both"/>
      </w:pPr>
      <w:r>
        <w:t>Dado que las diez fuentes llegan ahora por dos vías —descarga manual residual y depósito automático de RPA—, se incorporaron validaciones de calidad a la entrada de la capa Silver: verificación de esquema, rangos plausibles para los indicadores numéricos y detección de archivos duplicados por fecha, en línea con las dimensiones de calidad —completitud, consistencia, actualidad— que la literatura reciente identifica como las más medidas por herramientas de monitoreo automatizado [4]. Un archivo que no supera estas validaciones se aísla en una subcarpeta de cuarentena y genera una notificación, en lugar de propagar un dato inválido hacia las vistas Gold.</w:t>
      </w:r>
    </w:p>
    <w:p w14:paraId="5159E99D" w14:textId="77777777" w:rsidR="00C415A3" w:rsidRDefault="00000000">
      <w:pPr>
        <w:spacing w:before="160" w:after="80"/>
      </w:pPr>
      <w:r>
        <w:rPr>
          <w:b/>
          <w:bCs/>
          <w:i/>
          <w:iCs/>
        </w:rPr>
        <w:t>E. Orquestación del pipeline y disparo por eventos de RPA</w:t>
      </w:r>
    </w:p>
    <w:p w14:paraId="01641A42" w14:textId="77777777" w:rsidR="00C415A3" w:rsidRDefault="00000000">
      <w:pPr>
        <w:spacing w:after="120"/>
        <w:jc w:val="both"/>
      </w:pPr>
      <w:r>
        <w:t xml:space="preserve">El script pipeline.py combina una ejecución programada —para las fuentes que aún se descargan manualmente— con un disparador por eventos que observa la carpeta </w:t>
      </w:r>
      <w:proofErr w:type="spellStart"/>
      <w:r>
        <w:t>datos_macroentorno</w:t>
      </w:r>
      <w:proofErr w:type="spellEnd"/>
      <w:r>
        <w:t xml:space="preserve">/ y reacciona a la llegada de archivos nuevos del equipo de RPA. Este patrón de orquestación, que integra tareas de origen humano, automatizado y programado bajo un mismo flujo con registro de ejecución, corresponde a lo que la metodología </w:t>
      </w:r>
      <w:proofErr w:type="spellStart"/>
      <w:r>
        <w:t>DataOps</w:t>
      </w:r>
      <w:proofErr w:type="spellEnd"/>
      <w:r>
        <w:t xml:space="preserve"> describe como control de flujo de trabajo reproducible y auditable [6], y fue la pieza que permitió, en la semana 5, demostrar la primera actualización del tablero disparada íntegramente por un archivo entregado por el robot de RPA.</w:t>
      </w:r>
    </w:p>
    <w:p w14:paraId="785010DE" w14:textId="77777777" w:rsidR="00C415A3" w:rsidRDefault="00000000">
      <w:pPr>
        <w:spacing w:before="160" w:after="80"/>
      </w:pPr>
      <w:r>
        <w:rPr>
          <w:b/>
          <w:bCs/>
          <w:i/>
          <w:iCs/>
        </w:rPr>
        <w:t>F. Tablero analítico</w:t>
      </w:r>
    </w:p>
    <w:p w14:paraId="32A40C03" w14:textId="77777777" w:rsidR="00C415A3" w:rsidRDefault="00000000">
      <w:pPr>
        <w:spacing w:after="120"/>
        <w:jc w:val="both"/>
      </w:pPr>
      <w:r>
        <w:t xml:space="preserve">El tablero se implementó en </w:t>
      </w:r>
      <w:proofErr w:type="spellStart"/>
      <w:r>
        <w:t>Power</w:t>
      </w:r>
      <w:proofErr w:type="spellEnd"/>
      <w:r>
        <w:t xml:space="preserve"> BI Desktop, conectado directamente a las vistas del esquema </w:t>
      </w:r>
      <w:proofErr w:type="spellStart"/>
      <w:r>
        <w:t>gold</w:t>
      </w:r>
      <w:proofErr w:type="spellEnd"/>
      <w:r>
        <w:t xml:space="preserve"> mediante el conector nativo de PostgreSQL. Se diseñaron tres páginas —evolución económica (P1), concentración sectorial y provincial (P2), y bachilleres frente a empresas (P3)—, cada una con sus visualizaciones, indicadores clave de desempeño y filtros por año, provincia y sector, y cada una acompañada, conforme al criterio diferenciador de sexto ciclo, de un párrafo de análisis ejecutivo que conecta el hallazgo de la página con una implicación para la planificación institucional de la UTPL.</w:t>
      </w:r>
    </w:p>
    <w:p w14:paraId="5A6D9BBD" w14:textId="77777777" w:rsidR="00C415A3" w:rsidRDefault="00000000">
      <w:pPr>
        <w:spacing w:before="200" w:after="100"/>
      </w:pPr>
      <w:r>
        <w:rPr>
          <w:b/>
          <w:bCs/>
        </w:rPr>
        <w:t>VI. RESULTADOS</w:t>
      </w:r>
    </w:p>
    <w:p w14:paraId="39FC9AE5" w14:textId="77777777" w:rsidR="00C415A3" w:rsidRDefault="00000000">
      <w:pPr>
        <w:spacing w:after="120"/>
        <w:jc w:val="both"/>
      </w:pPr>
      <w:r>
        <w:t xml:space="preserve">El análisis de </w:t>
      </w:r>
      <w:proofErr w:type="spellStart"/>
      <w:r>
        <w:t>gold_pib_tendencia</w:t>
      </w:r>
      <w:proofErr w:type="spellEnd"/>
      <w:r>
        <w:t xml:space="preserve"> confirmó una tendencia general de crecimiento del PIB real ecuatoriano en el período </w:t>
      </w:r>
      <w:r>
        <w:lastRenderedPageBreak/>
        <w:t xml:space="preserve">analizado, con una contracción marcada en 2020. La vista </w:t>
      </w:r>
      <w:proofErr w:type="spellStart"/>
      <w:r>
        <w:t>gold_expectativas_vs_ciclo</w:t>
      </w:r>
      <w:proofErr w:type="spellEnd"/>
      <w:r>
        <w:t xml:space="preserve"> mostró que el IEE tendió a anticipar los puntos de inflexión del ciclo económico con algunos meses de adelanto, información incorporada al análisis ejecutivo de la página P1. La vista </w:t>
      </w:r>
      <w:proofErr w:type="spellStart"/>
      <w:r>
        <w:t>gold_empresas_provincia</w:t>
      </w:r>
      <w:proofErr w:type="spellEnd"/>
      <w:r>
        <w:t xml:space="preserve"> evidenció una fuerte concentración de empresas activas e ingresos en pocas provincias, mientras que </w:t>
      </w:r>
      <w:proofErr w:type="spellStart"/>
      <w:r>
        <w:t>gold_bachilleres_vs_empresas</w:t>
      </w:r>
      <w:proofErr w:type="spellEnd"/>
      <w:r>
        <w:t xml:space="preserve"> permitió identificar provincias con una razón bachilleres/</w:t>
      </w:r>
      <w:proofErr w:type="gramStart"/>
      <w:r>
        <w:t>empresas considerablemente más alta</w:t>
      </w:r>
      <w:proofErr w:type="gramEnd"/>
      <w:r>
        <w:t xml:space="preserve"> que el promedio nacional, información de relevancia estratégica para la oferta académica institucional. Finalmente, la integración con el equipo de RPA permitió sostener durante las semanas 5 a 7 una actualización del tablero sin intervención manual sobre los archivos fuente, reduciendo a horas —en lugar de días— el tiempo entre la publicación de una nueva cifra oficial y su disponibilidad en el tablero.</w:t>
      </w:r>
    </w:p>
    <w:p w14:paraId="2ACF18FC" w14:textId="77777777" w:rsidR="00C415A3" w:rsidRDefault="00000000">
      <w:pPr>
        <w:spacing w:before="200" w:after="100"/>
      </w:pPr>
      <w:r>
        <w:rPr>
          <w:b/>
          <w:bCs/>
        </w:rPr>
        <w:t>VII. CONCLUSIONES</w:t>
      </w:r>
    </w:p>
    <w:p w14:paraId="65FE548F" w14:textId="77777777" w:rsidR="00C415A3" w:rsidRDefault="00000000">
      <w:pPr>
        <w:spacing w:after="120"/>
        <w:jc w:val="both"/>
      </w:pPr>
      <w:r>
        <w:t>El desarrollo de este pipeline, en el alcance correspondiente a sexto ciclo, confirmó que la arquitectura medallón sobre un motor de producción como PostgreSQL facilita la integración de fuentes públicas heterogéneas siempre que se preste atención a la consistencia de las claves de cruce entre fuentes con distinta granularidad geográfica. La incorporación de vistas materializadas y de roles de acceso diferenciados resultó necesaria para sostener el tablero en un entorno de uso institucional continuo, y la integración con el proceso de RPA desarrollado por el equipo homólogo evidenció que la automatización robótica puede extenderse, más allá de tareas administrativas, hasta convertirse en el mecanismo de ingesta de un pipeline analítico completo. Como trabajo futuro se plantea extender el monitoreo de calidad de datos hacia alertas proactivas ante desviaciones estadísticas, e incorporar un orquestador de tareas de propósito general que reemplace la combinación actual de ejecución programada y disparo por eventos.</w:t>
      </w:r>
    </w:p>
    <w:p w14:paraId="68FEEA0F" w14:textId="77777777" w:rsidR="00C415A3" w:rsidRPr="00711BBA" w:rsidRDefault="00000000">
      <w:pPr>
        <w:spacing w:before="200" w:after="100"/>
        <w:rPr>
          <w:lang w:val="en-US"/>
        </w:rPr>
      </w:pPr>
      <w:r w:rsidRPr="00711BBA">
        <w:rPr>
          <w:b/>
          <w:bCs/>
          <w:lang w:val="en-US"/>
        </w:rPr>
        <w:t>REFERENCIAS</w:t>
      </w:r>
    </w:p>
    <w:p w14:paraId="166621CF" w14:textId="77777777" w:rsidR="00C415A3" w:rsidRPr="00711BBA" w:rsidRDefault="00000000">
      <w:pPr>
        <w:spacing w:after="100"/>
        <w:ind w:left="260" w:hanging="260"/>
        <w:jc w:val="both"/>
        <w:rPr>
          <w:lang w:val="en-US"/>
        </w:rPr>
      </w:pPr>
      <w:r w:rsidRPr="00711BBA">
        <w:rPr>
          <w:sz w:val="18"/>
          <w:szCs w:val="18"/>
          <w:lang w:val="en-US"/>
        </w:rPr>
        <w:t>[1] J. Reis and M. Housley, Fundamentals of Data Engineering: Plan and Build Robust Data Systems. Sebastopol, CA, USA: O'Reilly Media, 2022.</w:t>
      </w:r>
    </w:p>
    <w:p w14:paraId="672BCC4D" w14:textId="77777777" w:rsidR="00C415A3" w:rsidRPr="00711BBA" w:rsidRDefault="00000000">
      <w:pPr>
        <w:spacing w:after="100"/>
        <w:ind w:left="260" w:hanging="260"/>
        <w:jc w:val="both"/>
        <w:rPr>
          <w:lang w:val="en-US"/>
        </w:rPr>
      </w:pPr>
      <w:r w:rsidRPr="00711BBA">
        <w:rPr>
          <w:sz w:val="18"/>
          <w:szCs w:val="18"/>
          <w:lang w:val="en-US"/>
        </w:rPr>
        <w:t>[2] M. Armbrust et al., "Delta Lake: high-performance ACID table storage over cloud object stores," Proc. VLDB Endowment, vol. 13, no. 12, pp. 3411–3424, 2020.</w:t>
      </w:r>
    </w:p>
    <w:p w14:paraId="16499877" w14:textId="77777777" w:rsidR="00C415A3" w:rsidRPr="00711BBA" w:rsidRDefault="00000000">
      <w:pPr>
        <w:spacing w:after="100"/>
        <w:ind w:left="260" w:hanging="260"/>
        <w:jc w:val="both"/>
        <w:rPr>
          <w:lang w:val="en-US"/>
        </w:rPr>
      </w:pPr>
      <w:r w:rsidRPr="00711BBA">
        <w:rPr>
          <w:sz w:val="18"/>
          <w:szCs w:val="18"/>
          <w:lang w:val="en-US"/>
        </w:rPr>
        <w:t xml:space="preserve">[3] Databricks, "What is the medallion </w:t>
      </w:r>
      <w:proofErr w:type="spellStart"/>
      <w:r w:rsidRPr="00711BBA">
        <w:rPr>
          <w:sz w:val="18"/>
          <w:szCs w:val="18"/>
          <w:lang w:val="en-US"/>
        </w:rPr>
        <w:t>lakehouse</w:t>
      </w:r>
      <w:proofErr w:type="spellEnd"/>
      <w:r w:rsidRPr="00711BBA">
        <w:rPr>
          <w:sz w:val="18"/>
          <w:szCs w:val="18"/>
          <w:lang w:val="en-US"/>
        </w:rPr>
        <w:t xml:space="preserve"> architecture?" Databricks Documentation, 2024. [Online]. Available: https://docs.databricks.com/aws/en/lakehouse/medallion</w:t>
      </w:r>
    </w:p>
    <w:p w14:paraId="206AD5B0" w14:textId="77777777" w:rsidR="00C415A3" w:rsidRPr="00711BBA" w:rsidRDefault="00000000">
      <w:pPr>
        <w:spacing w:after="100"/>
        <w:ind w:left="260" w:hanging="260"/>
        <w:jc w:val="both"/>
        <w:rPr>
          <w:lang w:val="en-US"/>
        </w:rPr>
      </w:pPr>
      <w:r w:rsidRPr="00711BBA">
        <w:rPr>
          <w:sz w:val="18"/>
          <w:szCs w:val="18"/>
          <w:lang w:val="en-US"/>
        </w:rPr>
        <w:t xml:space="preserve">[4] L. Ehrlinger and W. </w:t>
      </w:r>
      <w:proofErr w:type="spellStart"/>
      <w:r w:rsidRPr="00711BBA">
        <w:rPr>
          <w:sz w:val="18"/>
          <w:szCs w:val="18"/>
          <w:lang w:val="en-US"/>
        </w:rPr>
        <w:t>Wöß</w:t>
      </w:r>
      <w:proofErr w:type="spellEnd"/>
      <w:r w:rsidRPr="00711BBA">
        <w:rPr>
          <w:sz w:val="18"/>
          <w:szCs w:val="18"/>
          <w:lang w:val="en-US"/>
        </w:rPr>
        <w:t>, "A survey of data quality measurement and monitoring tools," Frontiers in Big Data, vol. 5, art. 850611, 2022.</w:t>
      </w:r>
    </w:p>
    <w:p w14:paraId="3D948D37" w14:textId="77777777" w:rsidR="00C415A3" w:rsidRPr="00711BBA" w:rsidRDefault="00000000">
      <w:pPr>
        <w:spacing w:after="100"/>
        <w:ind w:left="260" w:hanging="260"/>
        <w:jc w:val="both"/>
        <w:rPr>
          <w:lang w:val="en-US"/>
        </w:rPr>
      </w:pPr>
      <w:r w:rsidRPr="00711BBA">
        <w:rPr>
          <w:sz w:val="18"/>
          <w:szCs w:val="18"/>
          <w:lang w:val="en-US"/>
        </w:rPr>
        <w:t>[5] R. Syed et al., "Robotic process automation: Contemporary themes and challenges," Computers in Industry, vol. 115, art. 103162, 2020.</w:t>
      </w:r>
    </w:p>
    <w:p w14:paraId="06FA4D60" w14:textId="77777777" w:rsidR="00C415A3" w:rsidRPr="00711BBA" w:rsidRDefault="00000000">
      <w:pPr>
        <w:spacing w:after="100"/>
        <w:ind w:left="260" w:hanging="260"/>
        <w:jc w:val="both"/>
        <w:rPr>
          <w:lang w:val="en-US"/>
        </w:rPr>
      </w:pPr>
      <w:r w:rsidRPr="00711BBA">
        <w:rPr>
          <w:sz w:val="18"/>
          <w:szCs w:val="18"/>
          <w:lang w:val="en-US"/>
        </w:rPr>
        <w:t xml:space="preserve">[6] C. Bergh, G. </w:t>
      </w:r>
      <w:proofErr w:type="spellStart"/>
      <w:r w:rsidRPr="00711BBA">
        <w:rPr>
          <w:sz w:val="18"/>
          <w:szCs w:val="18"/>
          <w:lang w:val="en-US"/>
        </w:rPr>
        <w:t>Benghiat</w:t>
      </w:r>
      <w:proofErr w:type="spellEnd"/>
      <w:r w:rsidRPr="00711BBA">
        <w:rPr>
          <w:sz w:val="18"/>
          <w:szCs w:val="18"/>
          <w:lang w:val="en-US"/>
        </w:rPr>
        <w:t xml:space="preserve">, and E. </w:t>
      </w:r>
      <w:proofErr w:type="spellStart"/>
      <w:r w:rsidRPr="00711BBA">
        <w:rPr>
          <w:sz w:val="18"/>
          <w:szCs w:val="18"/>
          <w:lang w:val="en-US"/>
        </w:rPr>
        <w:t>Strod</w:t>
      </w:r>
      <w:proofErr w:type="spellEnd"/>
      <w:r w:rsidRPr="00711BBA">
        <w:rPr>
          <w:sz w:val="18"/>
          <w:szCs w:val="18"/>
          <w:lang w:val="en-US"/>
        </w:rPr>
        <w:t xml:space="preserve">, The </w:t>
      </w:r>
      <w:proofErr w:type="spellStart"/>
      <w:r w:rsidRPr="00711BBA">
        <w:rPr>
          <w:sz w:val="18"/>
          <w:szCs w:val="18"/>
          <w:lang w:val="en-US"/>
        </w:rPr>
        <w:t>DataOps</w:t>
      </w:r>
      <w:proofErr w:type="spellEnd"/>
      <w:r w:rsidRPr="00711BBA">
        <w:rPr>
          <w:sz w:val="18"/>
          <w:szCs w:val="18"/>
          <w:lang w:val="en-US"/>
        </w:rPr>
        <w:t xml:space="preserve"> Cookbook, 2nd ed. Cambridge, MA, USA: </w:t>
      </w:r>
      <w:proofErr w:type="spellStart"/>
      <w:r w:rsidRPr="00711BBA">
        <w:rPr>
          <w:sz w:val="18"/>
          <w:szCs w:val="18"/>
          <w:lang w:val="en-US"/>
        </w:rPr>
        <w:t>DataKitchen</w:t>
      </w:r>
      <w:proofErr w:type="spellEnd"/>
      <w:r w:rsidRPr="00711BBA">
        <w:rPr>
          <w:sz w:val="18"/>
          <w:szCs w:val="18"/>
          <w:lang w:val="en-US"/>
        </w:rPr>
        <w:t>, Inc., 2020.</w:t>
      </w:r>
    </w:p>
    <w:p w14:paraId="4B771FE9" w14:textId="77777777" w:rsidR="00C415A3" w:rsidRPr="00711BBA" w:rsidRDefault="00000000">
      <w:pPr>
        <w:spacing w:after="100"/>
        <w:ind w:left="260" w:hanging="260"/>
        <w:jc w:val="both"/>
        <w:rPr>
          <w:lang w:val="en-US"/>
        </w:rPr>
      </w:pPr>
      <w:r w:rsidRPr="00711BBA">
        <w:rPr>
          <w:sz w:val="18"/>
          <w:szCs w:val="18"/>
          <w:lang w:val="en-US"/>
        </w:rPr>
        <w:t xml:space="preserve">[7] W. McKinney, Python for Data Analysis: Data Wrangling with pandas, NumPy, and </w:t>
      </w:r>
      <w:proofErr w:type="spellStart"/>
      <w:r w:rsidRPr="00711BBA">
        <w:rPr>
          <w:sz w:val="18"/>
          <w:szCs w:val="18"/>
          <w:lang w:val="en-US"/>
        </w:rPr>
        <w:t>Jupyter</w:t>
      </w:r>
      <w:proofErr w:type="spellEnd"/>
      <w:r w:rsidRPr="00711BBA">
        <w:rPr>
          <w:sz w:val="18"/>
          <w:szCs w:val="18"/>
          <w:lang w:val="en-US"/>
        </w:rPr>
        <w:t>, 3rd ed. Sebastopol, CA, USA: O'Reilly Media, 2022.</w:t>
      </w:r>
    </w:p>
    <w:p w14:paraId="341004CA" w14:textId="77777777" w:rsidR="00C415A3" w:rsidRPr="00711BBA" w:rsidRDefault="00000000">
      <w:pPr>
        <w:spacing w:after="100"/>
        <w:ind w:left="260" w:hanging="260"/>
        <w:jc w:val="both"/>
        <w:rPr>
          <w:lang w:val="en-US"/>
        </w:rPr>
      </w:pPr>
      <w:r w:rsidRPr="00711BBA">
        <w:rPr>
          <w:sz w:val="18"/>
          <w:szCs w:val="18"/>
          <w:lang w:val="en-US"/>
        </w:rPr>
        <w:t>[8] R. Kimball and M. Ross, The Data Warehouse Toolkit: The Definitive Guide to Dimensional Modeling, 3rd ed. Indianapolis, IN, USA: Wiley, 2013.</w:t>
      </w:r>
    </w:p>
    <w:p w14:paraId="6594765F" w14:textId="77777777" w:rsidR="00C415A3" w:rsidRPr="00711BBA" w:rsidRDefault="00000000">
      <w:pPr>
        <w:spacing w:after="100"/>
        <w:ind w:left="260" w:hanging="260"/>
        <w:jc w:val="both"/>
        <w:rPr>
          <w:lang w:val="en-US"/>
        </w:rPr>
      </w:pPr>
      <w:r w:rsidRPr="00711BBA">
        <w:rPr>
          <w:sz w:val="18"/>
          <w:szCs w:val="18"/>
          <w:lang w:val="en-US"/>
        </w:rPr>
        <w:t>[9] Forbes Technology Council, "How robotic data automation could automate data pipelines," Forbes, Aug. 2021. [Online]. Available: https://www.forbes.com/sites/forbestechcouncil/2021/08/03/how-robotic-data-automation-could-automate-data-pipelines/</w:t>
      </w:r>
    </w:p>
    <w:p w14:paraId="0B8E152C" w14:textId="77777777" w:rsidR="00C415A3" w:rsidRPr="00711BBA" w:rsidRDefault="00000000">
      <w:pPr>
        <w:spacing w:after="100"/>
        <w:ind w:left="260" w:hanging="260"/>
        <w:jc w:val="both"/>
        <w:rPr>
          <w:lang w:val="en-US"/>
        </w:rPr>
      </w:pPr>
      <w:r w:rsidRPr="00711BBA">
        <w:rPr>
          <w:sz w:val="18"/>
          <w:szCs w:val="18"/>
          <w:lang w:val="en-US"/>
        </w:rPr>
        <w:t>[10] PostgreSQL Global Development Group, "PostgreSQL 16 documentation: Materialized views," PostgreSQL.org, 2024. [Online]. Available: https://www.postgresql.org/docs/current/rules-materializedviews.html</w:t>
      </w:r>
    </w:p>
    <w:p w14:paraId="64CEF9B8" w14:textId="77777777" w:rsidR="00C415A3" w:rsidRDefault="00000000">
      <w:pPr>
        <w:spacing w:after="100"/>
        <w:ind w:left="260" w:hanging="260"/>
        <w:jc w:val="both"/>
      </w:pPr>
      <w:r>
        <w:rPr>
          <w:sz w:val="18"/>
          <w:szCs w:val="18"/>
        </w:rPr>
        <w:t>[11] Banco Central del Ecuador, "Cuentas nacionales trimestrales del Ecuador," BCE, Quito, Ecuador, 2026.</w:t>
      </w:r>
    </w:p>
    <w:p w14:paraId="734F05A5" w14:textId="77777777" w:rsidR="00C415A3" w:rsidRDefault="00000000">
      <w:pPr>
        <w:spacing w:after="100"/>
        <w:ind w:left="260" w:hanging="260"/>
        <w:jc w:val="both"/>
      </w:pPr>
      <w:r>
        <w:rPr>
          <w:sz w:val="18"/>
          <w:szCs w:val="18"/>
        </w:rPr>
        <w:t>[12] Instituto Nacional de Estadística y Censos, "Encuesta Nacional de Empleo, Desempleo y Subempleo (ENEMDU)," INEC, Quito, Ecuador, 2026.</w:t>
      </w:r>
    </w:p>
    <w:p w14:paraId="39988A2C" w14:textId="77777777" w:rsidR="00C415A3" w:rsidRDefault="00000000">
      <w:pPr>
        <w:spacing w:after="100"/>
        <w:ind w:left="260" w:hanging="260"/>
        <w:jc w:val="both"/>
      </w:pPr>
      <w:r>
        <w:rPr>
          <w:sz w:val="18"/>
          <w:szCs w:val="18"/>
        </w:rPr>
        <w:t xml:space="preserve">[13] Ministerio de Educación del Ecuador, "Sistema de Registro de Datos Educativos (AMIE)," </w:t>
      </w:r>
      <w:proofErr w:type="spellStart"/>
      <w:r>
        <w:rPr>
          <w:sz w:val="18"/>
          <w:szCs w:val="18"/>
        </w:rPr>
        <w:t>MinEduc</w:t>
      </w:r>
      <w:proofErr w:type="spellEnd"/>
      <w:r>
        <w:rPr>
          <w:sz w:val="18"/>
          <w:szCs w:val="18"/>
        </w:rPr>
        <w:t>, Quito, Ecuador, 2024.</w:t>
      </w:r>
    </w:p>
    <w:p w14:paraId="2BF97DF2" w14:textId="77777777" w:rsidR="00C415A3" w:rsidRDefault="00000000">
      <w:pPr>
        <w:spacing w:after="100"/>
        <w:ind w:left="260" w:hanging="260"/>
        <w:jc w:val="both"/>
      </w:pPr>
      <w:r>
        <w:rPr>
          <w:sz w:val="18"/>
          <w:szCs w:val="18"/>
        </w:rPr>
        <w:t>[14] Superintendencia de Compañías, Valores y Seguros, "Directorio de compañías activas," SUPERCIAS, Quito, Ecuador, 2026.</w:t>
      </w:r>
    </w:p>
    <w:sectPr w:rsidR="00C415A3">
      <w:type w:val="continuous"/>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C74CE"/>
    <w:multiLevelType w:val="hybridMultilevel"/>
    <w:tmpl w:val="99A62590"/>
    <w:lvl w:ilvl="0" w:tplc="82D0DC66">
      <w:start w:val="1"/>
      <w:numFmt w:val="bullet"/>
      <w:lvlText w:val="●"/>
      <w:lvlJc w:val="left"/>
      <w:pPr>
        <w:ind w:left="720" w:hanging="360"/>
      </w:pPr>
    </w:lvl>
    <w:lvl w:ilvl="1" w:tplc="D7580D9A">
      <w:start w:val="1"/>
      <w:numFmt w:val="bullet"/>
      <w:lvlText w:val="○"/>
      <w:lvlJc w:val="left"/>
      <w:pPr>
        <w:ind w:left="1440" w:hanging="360"/>
      </w:pPr>
    </w:lvl>
    <w:lvl w:ilvl="2" w:tplc="3C120B12">
      <w:start w:val="1"/>
      <w:numFmt w:val="bullet"/>
      <w:lvlText w:val="■"/>
      <w:lvlJc w:val="left"/>
      <w:pPr>
        <w:ind w:left="2160" w:hanging="360"/>
      </w:pPr>
    </w:lvl>
    <w:lvl w:ilvl="3" w:tplc="F182CAAE">
      <w:start w:val="1"/>
      <w:numFmt w:val="bullet"/>
      <w:lvlText w:val="●"/>
      <w:lvlJc w:val="left"/>
      <w:pPr>
        <w:ind w:left="2880" w:hanging="360"/>
      </w:pPr>
    </w:lvl>
    <w:lvl w:ilvl="4" w:tplc="335CCD36">
      <w:start w:val="1"/>
      <w:numFmt w:val="bullet"/>
      <w:lvlText w:val="○"/>
      <w:lvlJc w:val="left"/>
      <w:pPr>
        <w:ind w:left="3600" w:hanging="360"/>
      </w:pPr>
    </w:lvl>
    <w:lvl w:ilvl="5" w:tplc="3CE0CEDE">
      <w:start w:val="1"/>
      <w:numFmt w:val="bullet"/>
      <w:lvlText w:val="■"/>
      <w:lvlJc w:val="left"/>
      <w:pPr>
        <w:ind w:left="4320" w:hanging="360"/>
      </w:pPr>
    </w:lvl>
    <w:lvl w:ilvl="6" w:tplc="A31CF516">
      <w:start w:val="1"/>
      <w:numFmt w:val="bullet"/>
      <w:lvlText w:val="●"/>
      <w:lvlJc w:val="left"/>
      <w:pPr>
        <w:ind w:left="5040" w:hanging="360"/>
      </w:pPr>
    </w:lvl>
    <w:lvl w:ilvl="7" w:tplc="0890D150">
      <w:start w:val="1"/>
      <w:numFmt w:val="bullet"/>
      <w:lvlText w:val="●"/>
      <w:lvlJc w:val="left"/>
      <w:pPr>
        <w:ind w:left="5760" w:hanging="360"/>
      </w:pPr>
    </w:lvl>
    <w:lvl w:ilvl="8" w:tplc="81226E32">
      <w:start w:val="1"/>
      <w:numFmt w:val="bullet"/>
      <w:lvlText w:val="●"/>
      <w:lvlJc w:val="left"/>
      <w:pPr>
        <w:ind w:left="6480" w:hanging="360"/>
      </w:pPr>
    </w:lvl>
  </w:abstractNum>
  <w:num w:numId="1" w16cid:durableId="843516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5A3"/>
    <w:rsid w:val="00711BBA"/>
    <w:rsid w:val="00C415A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89C78"/>
  <w15:docId w15:val="{8C1A1F05-41E9-4267-91EF-75A8FC31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3344</Words>
  <Characters>18394</Characters>
  <Application>Microsoft Office Word</Application>
  <DocSecurity>0</DocSecurity>
  <Lines>153</Lines>
  <Paragraphs>43</Paragraphs>
  <ScaleCrop>false</ScaleCrop>
  <Company/>
  <LinksUpToDate>false</LinksUpToDate>
  <CharactersWithSpaces>21695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landi</cp:lastModifiedBy>
  <cp:revision>2</cp:revision>
  <dcterms:created xsi:type="dcterms:W3CDTF">2026-07-22T07:42:00Z</dcterms:created>
  <dcterms:modified xsi:type="dcterms:W3CDTF">2026-07-22T07:42:00Z</dcterms:modified>
</cp:coreProperties>
</file>