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490B0" w14:textId="7964CB5D" w:rsidR="00B51ACD" w:rsidRDefault="00B51ACD">
      <w:pPr>
        <w:spacing w:after="120"/>
        <w:jc w:val="center"/>
        <w:rPr>
          <w:b/>
          <w:bCs/>
          <w:color w:val="000000"/>
          <w:sz w:val="28"/>
          <w:szCs w:val="28"/>
        </w:rPr>
      </w:pPr>
      <w:r>
        <w:rPr>
          <w:b/>
          <w:bCs/>
          <w:color w:val="000000"/>
          <w:sz w:val="28"/>
          <w:szCs w:val="28"/>
        </w:rPr>
        <w:t>UNIVERSIDAD TÉCNICA PARTICULAR DE LOJA</w:t>
      </w:r>
    </w:p>
    <w:p w14:paraId="4CF54ECE" w14:textId="44E4649C" w:rsidR="00137FAE" w:rsidRDefault="00000000">
      <w:pPr>
        <w:spacing w:after="120"/>
        <w:jc w:val="center"/>
      </w:pPr>
      <w:r>
        <w:rPr>
          <w:b/>
          <w:bCs/>
          <w:color w:val="000000"/>
          <w:sz w:val="28"/>
          <w:szCs w:val="28"/>
        </w:rPr>
        <w:t>Estado del Arte sobre Inteligencia Artificial, Aprendizaje Automático y Procesamiento del Lenguaje Natural</w:t>
      </w:r>
    </w:p>
    <w:p w14:paraId="79DD0814" w14:textId="68D4C05B" w:rsidR="00137FAE" w:rsidRPr="00B51ACD" w:rsidRDefault="00B51ACD" w:rsidP="00B51ACD">
      <w:pPr>
        <w:spacing w:after="60"/>
        <w:rPr>
          <w:b/>
          <w:bCs/>
        </w:rPr>
      </w:pPr>
      <w:r>
        <w:rPr>
          <w:b/>
          <w:bCs/>
          <w:color w:val="000000"/>
          <w:sz w:val="22"/>
          <w:szCs w:val="22"/>
        </w:rPr>
        <w:t xml:space="preserve">Autor: </w:t>
      </w:r>
      <w:r w:rsidRPr="00B51ACD">
        <w:rPr>
          <w:b/>
          <w:bCs/>
          <w:color w:val="000000"/>
          <w:sz w:val="22"/>
          <w:szCs w:val="22"/>
        </w:rPr>
        <w:t>Juan Pablo Landi Largo</w:t>
      </w:r>
    </w:p>
    <w:p w14:paraId="2419657B" w14:textId="3138D9EA" w:rsidR="00137FAE" w:rsidRDefault="00000000">
      <w:pPr>
        <w:spacing w:line="276" w:lineRule="auto"/>
        <w:jc w:val="both"/>
      </w:pPr>
      <w:r>
        <w:rPr>
          <w:color w:val="000000"/>
        </w:rPr>
        <w:t>La inteligencia artificial (IA) ha evolucionado desde sus fundamentos teóricos hacia sistemas capaces de reconocer patrones complejos, generar lenguaje natural y tomar decisiones en entornos dinámicos. Este artículo presenta un estado del arte de tres áreas centrales: el aprendizaje automático (machine learning), las redes neuronales profundas (</w:t>
      </w:r>
      <w:proofErr w:type="spellStart"/>
      <w:r>
        <w:rPr>
          <w:color w:val="000000"/>
        </w:rPr>
        <w:t>deep</w:t>
      </w:r>
      <w:proofErr w:type="spellEnd"/>
      <w:r>
        <w:rPr>
          <w:color w:val="000000"/>
        </w:rPr>
        <w:t xml:space="preserve"> learning) y el procesamiento del lenguaje natural (PLN). Se examinan los fundamentos conceptuales de cada área, los métodos más relevantes, sus limitaciones reconocidas en la literatura científica y las tendencias emergentes como los modelos de lenguaje de gran escala, el aprendizaje por transferencia y la IA explicable [1]–[4].</w:t>
      </w:r>
    </w:p>
    <w:p w14:paraId="0E6DFCC2" w14:textId="77777777" w:rsidR="00137FAE" w:rsidRDefault="00000000" w:rsidP="00B51ACD">
      <w:pPr>
        <w:spacing w:before="200" w:after="100"/>
        <w:ind w:left="1276"/>
      </w:pPr>
      <w:r>
        <w:rPr>
          <w:b/>
          <w:bCs/>
          <w:caps/>
          <w:color w:val="000000"/>
          <w:sz w:val="22"/>
          <w:szCs w:val="22"/>
        </w:rPr>
        <w:t>I. Introducción</w:t>
      </w:r>
    </w:p>
    <w:p w14:paraId="3BB49F2C" w14:textId="77777777" w:rsidR="00B51ACD" w:rsidRDefault="00B51ACD">
      <w:pPr>
        <w:spacing w:line="276" w:lineRule="auto"/>
        <w:jc w:val="both"/>
        <w:rPr>
          <w:color w:val="000000"/>
        </w:rPr>
        <w:sectPr w:rsidR="00B51ACD">
          <w:pgSz w:w="12240" w:h="15840"/>
          <w:pgMar w:top="1080" w:right="1080" w:bottom="1080" w:left="1080" w:header="708" w:footer="708" w:gutter="0"/>
          <w:cols w:space="720"/>
          <w:docGrid w:linePitch="360"/>
        </w:sectPr>
      </w:pPr>
    </w:p>
    <w:p w14:paraId="2C865E8B" w14:textId="77777777" w:rsidR="00137FAE" w:rsidRDefault="00000000">
      <w:pPr>
        <w:spacing w:line="276" w:lineRule="auto"/>
        <w:jc w:val="both"/>
      </w:pPr>
      <w:r>
        <w:rPr>
          <w:color w:val="000000"/>
        </w:rPr>
        <w:t>La inteligencia artificial (IA) es uno de los campos de investigación más activos y de mayor impacto en la ciencia de la computación contemporánea. Durante las últimas décadas, la IA ha transitado de sistemas basados en reglas explícitas hacia paradigmas de aprendizaje estadístico que permiten a las máquinas aprender representaciones directamente de los datos [1]. Este cambio de paradigma fue posible gracias a tres factores concurrentes: la disponibilidad de grandes conjuntos de datos, el aumento exponencial en la capacidad de procesamiento —especialmente mediante unidades de procesamiento gráfico (GPU)— y el desarrollo de algoritmos más eficientes [2].</w:t>
      </w:r>
    </w:p>
    <w:p w14:paraId="39E5B996" w14:textId="77777777" w:rsidR="00137FAE" w:rsidRDefault="00137FAE"/>
    <w:p w14:paraId="3D0D8715" w14:textId="77777777" w:rsidR="00137FAE" w:rsidRDefault="00000000">
      <w:pPr>
        <w:spacing w:line="276" w:lineRule="auto"/>
        <w:jc w:val="both"/>
      </w:pPr>
      <w:r>
        <w:rPr>
          <w:color w:val="000000"/>
        </w:rPr>
        <w:t>El aprendizaje automático (machine learning) constituye la base de la mayoría de los sistemas de IA actuales. Su principio fundamental consiste en que un algoritmo ajusta sus parámetros internos a partir de ejemplos, de modo que pueda generalizar hacia datos nuevos no vistos durante el entrenamiento [3]. Dentro del aprendizaje automático, las redes neuronales profundas (</w:t>
      </w:r>
      <w:proofErr w:type="spellStart"/>
      <w:r>
        <w:rPr>
          <w:color w:val="000000"/>
        </w:rPr>
        <w:t>deep</w:t>
      </w:r>
      <w:proofErr w:type="spellEnd"/>
      <w:r>
        <w:rPr>
          <w:color w:val="000000"/>
        </w:rPr>
        <w:t xml:space="preserve"> learning) lograron avances significativos en tareas de percepción como reconocimiento de imágenes, síntesis de voz y comprensión del lenguaje, superando con frecuencia el desempeño humano en </w:t>
      </w:r>
      <w:proofErr w:type="spellStart"/>
      <w:r>
        <w:rPr>
          <w:color w:val="000000"/>
        </w:rPr>
        <w:t>benchmarks</w:t>
      </w:r>
      <w:proofErr w:type="spellEnd"/>
      <w:r>
        <w:rPr>
          <w:color w:val="000000"/>
        </w:rPr>
        <w:t xml:space="preserve"> específicos [4].</w:t>
      </w:r>
    </w:p>
    <w:p w14:paraId="4B04176E" w14:textId="77777777" w:rsidR="00137FAE" w:rsidRDefault="00137FAE"/>
    <w:p w14:paraId="7703B8E4" w14:textId="77777777" w:rsidR="00137FAE" w:rsidRDefault="00000000">
      <w:pPr>
        <w:spacing w:line="276" w:lineRule="auto"/>
        <w:jc w:val="both"/>
      </w:pPr>
      <w:r>
        <w:rPr>
          <w:color w:val="000000"/>
        </w:rPr>
        <w:t>El procesamiento del lenguaje natural (PLN) representa otra rama fundamental, orientada a que las máquinas comprendan, generen e interpreten texto o habla humana. El PLN ha experimentado una revolución con la introducción de arquitecturas basadas en mecanismos de atención y, en particular, con los transformadores, que sentaron las bases de modelos de lenguaje como BERT, GPT y sus sucesores [5], [6].</w:t>
      </w:r>
    </w:p>
    <w:p w14:paraId="64D8EC2D" w14:textId="77777777" w:rsidR="00137FAE" w:rsidRDefault="00137FAE"/>
    <w:p w14:paraId="70E9632B" w14:textId="77777777" w:rsidR="00137FAE" w:rsidRDefault="00000000">
      <w:pPr>
        <w:spacing w:line="276" w:lineRule="auto"/>
        <w:jc w:val="both"/>
      </w:pPr>
      <w:r>
        <w:rPr>
          <w:color w:val="000000"/>
        </w:rPr>
        <w:t xml:space="preserve">El presente estado del arte revisa los avances más relevantes en estas tres áreas, con el objetivo de proporcionar una visión integrada y crítica de sus </w:t>
      </w:r>
      <w:r>
        <w:rPr>
          <w:color w:val="000000"/>
        </w:rPr>
        <w:t>fundamentos, métodos, limitaciones y tendencias actuales. La revisión se dirige a estudiantes y profesionales que buscan comprender el estado del campo con respaldo en literatura científica reconocida.</w:t>
      </w:r>
    </w:p>
    <w:p w14:paraId="448E6D3F" w14:textId="77777777" w:rsidR="00137FAE" w:rsidRDefault="00137FAE"/>
    <w:p w14:paraId="2701D0D8" w14:textId="77777777" w:rsidR="00137FAE" w:rsidRDefault="00000000">
      <w:pPr>
        <w:spacing w:before="200" w:after="100"/>
        <w:jc w:val="center"/>
      </w:pPr>
      <w:r>
        <w:rPr>
          <w:b/>
          <w:bCs/>
          <w:caps/>
          <w:color w:val="000000"/>
          <w:sz w:val="22"/>
          <w:szCs w:val="22"/>
        </w:rPr>
        <w:t>II. Metodología de Revisión</w:t>
      </w:r>
    </w:p>
    <w:p w14:paraId="0BB5C8D6" w14:textId="77777777" w:rsidR="00137FAE" w:rsidRDefault="00000000">
      <w:pPr>
        <w:spacing w:line="276" w:lineRule="auto"/>
        <w:jc w:val="both"/>
      </w:pPr>
      <w:r>
        <w:rPr>
          <w:color w:val="000000"/>
        </w:rPr>
        <w:t xml:space="preserve">Esta revisión se construyó mediante una búsqueda sistemática en fuentes académicas de alta relevancia, incluyendo IEEE </w:t>
      </w:r>
      <w:proofErr w:type="spellStart"/>
      <w:r>
        <w:rPr>
          <w:color w:val="000000"/>
        </w:rPr>
        <w:t>Xplore</w:t>
      </w:r>
      <w:proofErr w:type="spellEnd"/>
      <w:r>
        <w:rPr>
          <w:color w:val="000000"/>
        </w:rPr>
        <w:t xml:space="preserve">, ACM Digital Library, Google </w:t>
      </w:r>
      <w:proofErr w:type="spellStart"/>
      <w:r>
        <w:rPr>
          <w:color w:val="000000"/>
        </w:rPr>
        <w:t>Scholar</w:t>
      </w:r>
      <w:proofErr w:type="spellEnd"/>
      <w:r>
        <w:rPr>
          <w:color w:val="000000"/>
        </w:rPr>
        <w:t xml:space="preserve"> y repositorios como </w:t>
      </w:r>
      <w:proofErr w:type="spellStart"/>
      <w:r>
        <w:rPr>
          <w:color w:val="000000"/>
        </w:rPr>
        <w:t>arXiv</w:t>
      </w:r>
      <w:proofErr w:type="spellEnd"/>
      <w:r>
        <w:rPr>
          <w:color w:val="000000"/>
        </w:rPr>
        <w:t xml:space="preserve">. Los criterios de búsqueda priorizaron artículos publicados en revistas y conferencias de primer nivel —como </w:t>
      </w:r>
      <w:proofErr w:type="spellStart"/>
      <w:r>
        <w:rPr>
          <w:color w:val="000000"/>
        </w:rPr>
        <w:t>NeurIPS</w:t>
      </w:r>
      <w:proofErr w:type="spellEnd"/>
      <w:r>
        <w:rPr>
          <w:color w:val="000000"/>
        </w:rPr>
        <w:t>, ICML, ICLR, ACL y EMNLP— así como libros de texto fundamentales en IA y aprendizaje automático [7], [8].</w:t>
      </w:r>
    </w:p>
    <w:p w14:paraId="57E66F77" w14:textId="77777777" w:rsidR="00137FAE" w:rsidRDefault="00137FAE"/>
    <w:p w14:paraId="3E4F0B23" w14:textId="77777777" w:rsidR="00137FAE" w:rsidRDefault="00000000">
      <w:pPr>
        <w:spacing w:line="276" w:lineRule="auto"/>
        <w:jc w:val="both"/>
      </w:pPr>
      <w:r>
        <w:rPr>
          <w:color w:val="000000"/>
        </w:rPr>
        <w:t>La selección de fuentes siguió tres criterios principales: relevancia conceptual (que el artículo aborde fundamentos, métodos o tendencias de las áreas revisadas), calidad académica (publicación en revistas indexadas o conferencias con revisión por pares) y representatividad (que el trabajo sea ampliamente citado y reconocido en la comunidad científica). Se evitaron deliberadamente fuentes no académicas como blogs, documentación técnica de productos comerciales o páginas corporativas, en consonancia con las recomendaciones para la elaboración de estados del arte en sistemas de información [7], [8].</w:t>
      </w:r>
    </w:p>
    <w:p w14:paraId="796B0E8F" w14:textId="77777777" w:rsidR="00137FAE" w:rsidRDefault="00137FAE"/>
    <w:p w14:paraId="1B1A83C8" w14:textId="77777777" w:rsidR="00137FAE" w:rsidRDefault="00000000">
      <w:pPr>
        <w:spacing w:line="276" w:lineRule="auto"/>
        <w:jc w:val="both"/>
      </w:pPr>
      <w:r>
        <w:rPr>
          <w:color w:val="000000"/>
        </w:rPr>
        <w:t>La estructura de la revisión sigue un criterio temático: se analizan primero los fundamentos del aprendizaje automático, luego los avances en redes neuronales profundas y finalmente las contribuciones en PLN, cerrando con un análisis de tendencias y una discusión integradora. Este enfoque permite comprender las conexiones entre las áreas, en lugar de tratarlas como campos aislados.</w:t>
      </w:r>
    </w:p>
    <w:p w14:paraId="633E3EA2" w14:textId="77777777" w:rsidR="00137FAE" w:rsidRDefault="00137FAE"/>
    <w:p w14:paraId="65F5C8C8" w14:textId="77777777" w:rsidR="00137FAE" w:rsidRDefault="00000000">
      <w:pPr>
        <w:spacing w:before="200" w:after="100"/>
        <w:jc w:val="center"/>
      </w:pPr>
      <w:r>
        <w:rPr>
          <w:b/>
          <w:bCs/>
          <w:caps/>
          <w:color w:val="000000"/>
          <w:sz w:val="22"/>
          <w:szCs w:val="22"/>
        </w:rPr>
        <w:lastRenderedPageBreak/>
        <w:t>III. Aprendizaje Automático</w:t>
      </w:r>
    </w:p>
    <w:p w14:paraId="21248B22" w14:textId="77777777" w:rsidR="00137FAE" w:rsidRDefault="00000000">
      <w:pPr>
        <w:spacing w:before="140" w:after="60"/>
      </w:pPr>
      <w:r>
        <w:rPr>
          <w:b/>
          <w:bCs/>
          <w:i/>
          <w:iCs/>
          <w:color w:val="000000"/>
        </w:rPr>
        <w:t>A. Fundamentos y paradigmas de aprendizaje</w:t>
      </w:r>
    </w:p>
    <w:p w14:paraId="11FA4F1A" w14:textId="77777777" w:rsidR="00137FAE" w:rsidRDefault="00000000">
      <w:pPr>
        <w:spacing w:line="276" w:lineRule="auto"/>
        <w:jc w:val="both"/>
      </w:pPr>
      <w:r>
        <w:rPr>
          <w:color w:val="000000"/>
        </w:rPr>
        <w:t>El aprendizaje automático se define como la capacidad de un sistema para mejorar su desempeño en una tarea a partir de la experiencia, sin haber sido programado explícitamente para ello [3]. Esta definición, propuesta originalmente por Mitchell (1997), sigue siendo el punto de partida habitual en la literatura científica, aunque con el tiempo se han refinado sus componentes y condiciones de aplicabilidad.</w:t>
      </w:r>
    </w:p>
    <w:p w14:paraId="4AB95151" w14:textId="77777777" w:rsidR="00137FAE" w:rsidRDefault="00137FAE"/>
    <w:p w14:paraId="42716518" w14:textId="77777777" w:rsidR="00137FAE" w:rsidRDefault="00000000">
      <w:pPr>
        <w:spacing w:line="276" w:lineRule="auto"/>
        <w:jc w:val="both"/>
      </w:pPr>
      <w:r>
        <w:rPr>
          <w:color w:val="000000"/>
        </w:rPr>
        <w:t>Los paradigmas de aprendizaje se clasifican comúnmente en tres grandes categorías. El aprendizaje supervisado utiliza pares de entrada y salida etiquetados para entrenar modelos de clasificación o regresión. El aprendizaje no supervisado busca estructura inherente en datos sin etiquetas, mediante técnicas como agrupamiento, reducción de dimensionalidad o modelado generativo. El aprendizaje por refuerzo entrena agentes que aprenden a seleccionar acciones para maximizar una recompensa acumulada en entornos dinámicos [9].</w:t>
      </w:r>
    </w:p>
    <w:p w14:paraId="13402D4D" w14:textId="77777777" w:rsidR="00137FAE" w:rsidRDefault="00137FAE"/>
    <w:p w14:paraId="2016A5D0" w14:textId="77777777" w:rsidR="00137FAE" w:rsidRDefault="00000000">
      <w:pPr>
        <w:spacing w:line="276" w:lineRule="auto"/>
        <w:jc w:val="both"/>
      </w:pPr>
      <w:r>
        <w:rPr>
          <w:color w:val="000000"/>
        </w:rPr>
        <w:t>Cada paradigma presenta ventajas y limitaciones específicas. El aprendizaje supervisado requiere grandes conjuntos de datos anotados, cuya creación implica esfuerzo humano considerable. El no supervisado puede descubrir patrones útiles, pero su evaluación es más difícil porque no existe una verdad de referencia inmediata. El aprendizaje por refuerzo es poderoso para juegos y control, pero su escalabilidad a problemas del mundo real con estados continuos y recompensas escasas sigue siendo un reto activo [9], [10].</w:t>
      </w:r>
    </w:p>
    <w:p w14:paraId="1FE3D0F1" w14:textId="77777777" w:rsidR="00137FAE" w:rsidRDefault="00137FAE"/>
    <w:p w14:paraId="01D35FC2" w14:textId="77777777" w:rsidR="00137FAE" w:rsidRDefault="00000000">
      <w:pPr>
        <w:spacing w:before="140" w:after="60"/>
      </w:pPr>
      <w:r>
        <w:rPr>
          <w:b/>
          <w:bCs/>
          <w:i/>
          <w:iCs/>
          <w:color w:val="000000"/>
        </w:rPr>
        <w:t>B. Modelos clásicos y su evolución</w:t>
      </w:r>
    </w:p>
    <w:p w14:paraId="250D3D6A" w14:textId="77777777" w:rsidR="00137FAE" w:rsidRDefault="00000000">
      <w:pPr>
        <w:spacing w:line="276" w:lineRule="auto"/>
        <w:jc w:val="both"/>
      </w:pPr>
      <w:r>
        <w:rPr>
          <w:color w:val="000000"/>
        </w:rPr>
        <w:t xml:space="preserve">Entre los algoritmos más estudiados y usados en la literatura se encuentran las máquinas de vectores de soporte (SVM), los árboles de decisión, los métodos de ensamble y la regresión regularizada. Las SVM, introducidas por </w:t>
      </w:r>
      <w:proofErr w:type="spellStart"/>
      <w:r>
        <w:rPr>
          <w:color w:val="000000"/>
        </w:rPr>
        <w:t>Vapnik</w:t>
      </w:r>
      <w:proofErr w:type="spellEnd"/>
      <w:r>
        <w:rPr>
          <w:color w:val="000000"/>
        </w:rPr>
        <w:t xml:space="preserve"> en la década de 1990, se basan en el principio de minimización del riesgo estructural y son conocidas por su eficacia en espacios de alta dimensionalidad y su robustez teórica [11].</w:t>
      </w:r>
    </w:p>
    <w:p w14:paraId="07F9DE3C" w14:textId="77777777" w:rsidR="00137FAE" w:rsidRDefault="00137FAE"/>
    <w:p w14:paraId="17CF5C4C" w14:textId="77777777" w:rsidR="00137FAE" w:rsidRDefault="00000000">
      <w:pPr>
        <w:spacing w:line="276" w:lineRule="auto"/>
        <w:jc w:val="both"/>
      </w:pPr>
      <w:r>
        <w:rPr>
          <w:color w:val="000000"/>
        </w:rPr>
        <w:t xml:space="preserve">Los métodos de ensamble, como </w:t>
      </w:r>
      <w:proofErr w:type="spellStart"/>
      <w:r>
        <w:rPr>
          <w:color w:val="000000"/>
        </w:rPr>
        <w:t>Random</w:t>
      </w:r>
      <w:proofErr w:type="spellEnd"/>
      <w:r>
        <w:rPr>
          <w:color w:val="000000"/>
        </w:rPr>
        <w:t xml:space="preserve"> Forest y </w:t>
      </w:r>
      <w:proofErr w:type="spellStart"/>
      <w:r>
        <w:rPr>
          <w:color w:val="000000"/>
        </w:rPr>
        <w:t>Gradient</w:t>
      </w:r>
      <w:proofErr w:type="spellEnd"/>
      <w:r>
        <w:rPr>
          <w:color w:val="000000"/>
        </w:rPr>
        <w:t xml:space="preserve"> </w:t>
      </w:r>
      <w:proofErr w:type="spellStart"/>
      <w:r>
        <w:rPr>
          <w:color w:val="000000"/>
        </w:rPr>
        <w:t>Boosting</w:t>
      </w:r>
      <w:proofErr w:type="spellEnd"/>
      <w:r>
        <w:rPr>
          <w:color w:val="000000"/>
        </w:rPr>
        <w:t xml:space="preserve">, combinan múltiples modelos débiles para producir predicciones más estables y precisas. En particular, el algoritmo </w:t>
      </w:r>
      <w:proofErr w:type="spellStart"/>
      <w:r>
        <w:rPr>
          <w:color w:val="000000"/>
        </w:rPr>
        <w:t>XGBoost</w:t>
      </w:r>
      <w:proofErr w:type="spellEnd"/>
      <w:r>
        <w:rPr>
          <w:color w:val="000000"/>
        </w:rPr>
        <w:t xml:space="preserve"> demostró empíricamente que la regularización, el manejo eficiente de datos dispersos y la paralelización pueden producir resultados de alta competitividad en tareas de regresión y clasificación tabulares [12]. Esto explica por qué los métodos de </w:t>
      </w:r>
      <w:r>
        <w:rPr>
          <w:color w:val="000000"/>
        </w:rPr>
        <w:t xml:space="preserve">ensamble siguen siendo relevantes incluso en la era del </w:t>
      </w:r>
      <w:proofErr w:type="spellStart"/>
      <w:r>
        <w:rPr>
          <w:color w:val="000000"/>
        </w:rPr>
        <w:t>deep</w:t>
      </w:r>
      <w:proofErr w:type="spellEnd"/>
      <w:r>
        <w:rPr>
          <w:color w:val="000000"/>
        </w:rPr>
        <w:t xml:space="preserve"> learning, especialmente cuando los conjuntos de datos son de tamaño moderado o el tiempo de entrenamiento es limitado.</w:t>
      </w:r>
    </w:p>
    <w:p w14:paraId="09148171" w14:textId="77777777" w:rsidR="00137FAE" w:rsidRDefault="00137FAE"/>
    <w:p w14:paraId="72B67782" w14:textId="77777777" w:rsidR="00137FAE" w:rsidRDefault="00000000">
      <w:pPr>
        <w:spacing w:line="276" w:lineRule="auto"/>
        <w:jc w:val="both"/>
      </w:pPr>
      <w:r>
        <w:rPr>
          <w:color w:val="000000"/>
        </w:rPr>
        <w:t>La selección del modelo apropiado depende del tipo y volumen de datos disponibles, la interpretabilidad requerida, los recursos computacionales y los objetivos del problema. La literatura recomienda no adoptar un enfoque único, sino contrastar varios algoritmos y evaluar sus resultados con métricas pertinentes al dominio [7], [9].</w:t>
      </w:r>
    </w:p>
    <w:p w14:paraId="5D139D8D" w14:textId="77777777" w:rsidR="00137FAE" w:rsidRDefault="00137FAE"/>
    <w:p w14:paraId="549016A5" w14:textId="77777777" w:rsidR="00137FAE" w:rsidRDefault="00000000">
      <w:pPr>
        <w:spacing w:before="140" w:after="60"/>
      </w:pPr>
      <w:r>
        <w:rPr>
          <w:b/>
          <w:bCs/>
          <w:i/>
          <w:iCs/>
          <w:color w:val="000000"/>
        </w:rPr>
        <w:t>C. Evaluación, generalización y sesgos</w:t>
      </w:r>
    </w:p>
    <w:p w14:paraId="36C18B6A" w14:textId="77777777" w:rsidR="00137FAE" w:rsidRDefault="00000000">
      <w:pPr>
        <w:spacing w:line="276" w:lineRule="auto"/>
        <w:jc w:val="both"/>
      </w:pPr>
      <w:r>
        <w:rPr>
          <w:color w:val="000000"/>
        </w:rPr>
        <w:t>La evaluación de modelos de aprendizaje automático va más allá de medir precisión en un conjunto de prueba. Es fundamental analizar la capacidad de generalización, es decir, el desempeño del modelo en datos nuevos que no estuvieron presentes en el entrenamiento. El sobreajuste (</w:t>
      </w:r>
      <w:proofErr w:type="spellStart"/>
      <w:r>
        <w:rPr>
          <w:color w:val="000000"/>
        </w:rPr>
        <w:t>overfitting</w:t>
      </w:r>
      <w:proofErr w:type="spellEnd"/>
      <w:r>
        <w:rPr>
          <w:color w:val="000000"/>
        </w:rPr>
        <w:t xml:space="preserve">) ocurre cuando el modelo memoriza los datos de entrenamiento en lugar de aprender patrones generales, mientras que el </w:t>
      </w:r>
      <w:proofErr w:type="spellStart"/>
      <w:r>
        <w:rPr>
          <w:color w:val="000000"/>
        </w:rPr>
        <w:t>subajuste</w:t>
      </w:r>
      <w:proofErr w:type="spellEnd"/>
      <w:r>
        <w:rPr>
          <w:color w:val="000000"/>
        </w:rPr>
        <w:t xml:space="preserve"> (</w:t>
      </w:r>
      <w:proofErr w:type="spellStart"/>
      <w:r>
        <w:rPr>
          <w:color w:val="000000"/>
        </w:rPr>
        <w:t>underfitting</w:t>
      </w:r>
      <w:proofErr w:type="spellEnd"/>
      <w:r>
        <w:rPr>
          <w:color w:val="000000"/>
        </w:rPr>
        <w:t>) refleja un modelo demasiado simple para capturar la estructura relevante [3].</w:t>
      </w:r>
    </w:p>
    <w:p w14:paraId="3A0E2252" w14:textId="77777777" w:rsidR="00137FAE" w:rsidRDefault="00137FAE"/>
    <w:p w14:paraId="4B478233" w14:textId="77777777" w:rsidR="00137FAE" w:rsidRDefault="00000000">
      <w:pPr>
        <w:spacing w:line="276" w:lineRule="auto"/>
        <w:jc w:val="both"/>
      </w:pPr>
      <w:r>
        <w:rPr>
          <w:color w:val="000000"/>
        </w:rPr>
        <w:t xml:space="preserve">La validación cruzada, el análisis de curvas de aprendizaje y el uso de conjuntos de validación independientes son prácticas estándar para estimar la generalización antes del despliegue [9]. Sin embargo, la literatura también señala que el rendimiento en </w:t>
      </w:r>
      <w:proofErr w:type="spellStart"/>
      <w:r>
        <w:rPr>
          <w:color w:val="000000"/>
        </w:rPr>
        <w:t>benchmarks</w:t>
      </w:r>
      <w:proofErr w:type="spellEnd"/>
      <w:r>
        <w:rPr>
          <w:color w:val="000000"/>
        </w:rPr>
        <w:t xml:space="preserve"> puede ser engañoso cuando los conjuntos de datos presentan sesgos de selección, desequilibrio de clases o falta de representatividad respecto a la distribución real de producción [13].</w:t>
      </w:r>
    </w:p>
    <w:p w14:paraId="115AB346" w14:textId="77777777" w:rsidR="00137FAE" w:rsidRDefault="00137FAE"/>
    <w:p w14:paraId="5F9C489D" w14:textId="77777777" w:rsidR="00137FAE" w:rsidRDefault="00000000">
      <w:pPr>
        <w:spacing w:line="276" w:lineRule="auto"/>
        <w:jc w:val="both"/>
      </w:pPr>
      <w:r>
        <w:rPr>
          <w:color w:val="000000"/>
        </w:rPr>
        <w:t>La equidad y los sesgos algorítmicos constituyen un problema de creciente atención en la investigación. Un modelo puede exhibir métricas de rendimiento satisfactorias en promedio y, al mismo tiempo, discriminar sistemáticamente a subgrupos específicos de la población. La literatura muestra que los sesgos históricos presentes en los datos de entrenamiento tienden a ser perpetuados —o incluso amplificados— por los modelos si no se aplican técnicas de mitigación explícitas [13].</w:t>
      </w:r>
    </w:p>
    <w:p w14:paraId="099A941E" w14:textId="77777777" w:rsidR="00137FAE" w:rsidRDefault="00137FAE"/>
    <w:p w14:paraId="0A30F7A7" w14:textId="77777777" w:rsidR="00137FAE" w:rsidRDefault="00000000">
      <w:pPr>
        <w:spacing w:before="200" w:after="100"/>
        <w:jc w:val="center"/>
      </w:pPr>
      <w:r>
        <w:rPr>
          <w:b/>
          <w:bCs/>
          <w:caps/>
          <w:color w:val="000000"/>
          <w:sz w:val="22"/>
          <w:szCs w:val="22"/>
        </w:rPr>
        <w:t>IV. Redes Neuronales Profundas (Deep Learning)</w:t>
      </w:r>
    </w:p>
    <w:p w14:paraId="1399705A" w14:textId="77777777" w:rsidR="00137FAE" w:rsidRDefault="00000000">
      <w:pPr>
        <w:spacing w:before="140" w:after="60"/>
      </w:pPr>
      <w:r>
        <w:rPr>
          <w:b/>
          <w:bCs/>
          <w:i/>
          <w:iCs/>
          <w:color w:val="000000"/>
        </w:rPr>
        <w:t>A. Fundamentos de las redes neuronales</w:t>
      </w:r>
    </w:p>
    <w:p w14:paraId="0077E665" w14:textId="77777777" w:rsidR="00137FAE" w:rsidRDefault="00000000">
      <w:pPr>
        <w:spacing w:line="276" w:lineRule="auto"/>
        <w:jc w:val="both"/>
      </w:pPr>
      <w:r>
        <w:rPr>
          <w:color w:val="000000"/>
        </w:rPr>
        <w:t xml:space="preserve">Las redes neuronales artificiales son modelos computacionales inspirados, en términos generales, en la estructura del cerebro biológico. Su unidad básica es la neurona artificial, que combina linealmente sus entradas y </w:t>
      </w:r>
      <w:r>
        <w:rPr>
          <w:color w:val="000000"/>
        </w:rPr>
        <w:lastRenderedPageBreak/>
        <w:t>aplica una función de activación no lineal. Al apilar múltiples capas de neuronas, se forman arquitecturas profundas capaces de aprender representaciones jerárquicas de los datos [4].</w:t>
      </w:r>
    </w:p>
    <w:p w14:paraId="12CE5EED" w14:textId="77777777" w:rsidR="00137FAE" w:rsidRDefault="00137FAE"/>
    <w:p w14:paraId="121C605A" w14:textId="77777777" w:rsidR="00137FAE" w:rsidRDefault="00000000">
      <w:pPr>
        <w:spacing w:line="276" w:lineRule="auto"/>
        <w:jc w:val="both"/>
      </w:pPr>
      <w:r>
        <w:rPr>
          <w:color w:val="000000"/>
        </w:rPr>
        <w:t xml:space="preserve">El entrenamiento de redes profundas se realiza mediante el algoritmo de </w:t>
      </w:r>
      <w:proofErr w:type="spellStart"/>
      <w:r>
        <w:rPr>
          <w:color w:val="000000"/>
        </w:rPr>
        <w:t>retropropagación</w:t>
      </w:r>
      <w:proofErr w:type="spellEnd"/>
      <w:r>
        <w:rPr>
          <w:color w:val="000000"/>
        </w:rPr>
        <w:t xml:space="preserve"> del error (</w:t>
      </w:r>
      <w:proofErr w:type="spellStart"/>
      <w:r>
        <w:rPr>
          <w:color w:val="000000"/>
        </w:rPr>
        <w:t>backpropagation</w:t>
      </w:r>
      <w:proofErr w:type="spellEnd"/>
      <w:r>
        <w:rPr>
          <w:color w:val="000000"/>
        </w:rPr>
        <w:t>) combinado con métodos de optimización basados en descenso del gradiente. La elección del optimizador, la tasa de aprendizaje, la función de pérdida y las técnicas de regularización (</w:t>
      </w:r>
      <w:proofErr w:type="spellStart"/>
      <w:r>
        <w:rPr>
          <w:color w:val="000000"/>
        </w:rPr>
        <w:t>dropout</w:t>
      </w:r>
      <w:proofErr w:type="spellEnd"/>
      <w:r>
        <w:rPr>
          <w:color w:val="000000"/>
        </w:rPr>
        <w:t>, normalización por lotes, penalización L2) influye significativamente en la calidad del modelo final [4], [14].</w:t>
      </w:r>
    </w:p>
    <w:p w14:paraId="65A908CA" w14:textId="77777777" w:rsidR="00137FAE" w:rsidRDefault="00137FAE"/>
    <w:p w14:paraId="20C31666" w14:textId="77777777" w:rsidR="00137FAE" w:rsidRDefault="00000000">
      <w:pPr>
        <w:spacing w:line="276" w:lineRule="auto"/>
        <w:jc w:val="both"/>
      </w:pPr>
      <w:r>
        <w:rPr>
          <w:color w:val="000000"/>
        </w:rPr>
        <w:t xml:space="preserve">A pesar de su potencia expresiva, las redes neuronales presentan limitaciones teóricas y prácticas importantes. Desde el punto de vista teórico, el problema de los gradientes que se desvanecen o explotan dificultó durante años el entrenamiento de arquitecturas profundas. Este problema se atenuó con el uso de funciones de activación como </w:t>
      </w:r>
      <w:proofErr w:type="spellStart"/>
      <w:r>
        <w:rPr>
          <w:color w:val="000000"/>
        </w:rPr>
        <w:t>ReLU</w:t>
      </w:r>
      <w:proofErr w:type="spellEnd"/>
      <w:r>
        <w:rPr>
          <w:color w:val="000000"/>
        </w:rPr>
        <w:t xml:space="preserve"> y con técnicas como la normalización por lotes [4]. Desde el punto de vista práctico, estas redes demandan grandes cantidades de datos etiquetados y recursos computacionales que no siempre están disponibles.</w:t>
      </w:r>
    </w:p>
    <w:p w14:paraId="773EFD26" w14:textId="77777777" w:rsidR="00137FAE" w:rsidRDefault="00137FAE"/>
    <w:p w14:paraId="4682A08D" w14:textId="77777777" w:rsidR="00137FAE" w:rsidRDefault="00000000">
      <w:pPr>
        <w:spacing w:before="140" w:after="60"/>
      </w:pPr>
      <w:r>
        <w:rPr>
          <w:b/>
          <w:bCs/>
          <w:i/>
          <w:iCs/>
          <w:color w:val="000000"/>
        </w:rPr>
        <w:t>B. Redes convolucionales y visión por computadora</w:t>
      </w:r>
    </w:p>
    <w:p w14:paraId="1C5623E8" w14:textId="77777777" w:rsidR="00137FAE" w:rsidRDefault="00000000">
      <w:pPr>
        <w:spacing w:line="276" w:lineRule="auto"/>
        <w:jc w:val="both"/>
      </w:pPr>
      <w:r>
        <w:rPr>
          <w:color w:val="000000"/>
        </w:rPr>
        <w:t xml:space="preserve">Las redes neuronales convolucionales (CNN) supusieron un avance fundamental en visión por computadora al introducir la idea de aprovechar la estructura espacial de las imágenes mediante convoluciones locales y compartición de pesos. La arquitectura </w:t>
      </w:r>
      <w:proofErr w:type="spellStart"/>
      <w:r>
        <w:rPr>
          <w:color w:val="000000"/>
        </w:rPr>
        <w:t>AlexNet</w:t>
      </w:r>
      <w:proofErr w:type="spellEnd"/>
      <w:r>
        <w:rPr>
          <w:color w:val="000000"/>
        </w:rPr>
        <w:t xml:space="preserve">, presentada en 2012, demostró que las CNN profundas entrenadas en GPU podían superar con amplio margen a los métodos clásicos en el concurso </w:t>
      </w:r>
      <w:proofErr w:type="spellStart"/>
      <w:r>
        <w:rPr>
          <w:color w:val="000000"/>
        </w:rPr>
        <w:t>ImageNet</w:t>
      </w:r>
      <w:proofErr w:type="spellEnd"/>
      <w:r>
        <w:rPr>
          <w:color w:val="000000"/>
        </w:rPr>
        <w:t xml:space="preserve">, marcando el inicio del auge moderno del </w:t>
      </w:r>
      <w:proofErr w:type="spellStart"/>
      <w:r>
        <w:rPr>
          <w:color w:val="000000"/>
        </w:rPr>
        <w:t>deep</w:t>
      </w:r>
      <w:proofErr w:type="spellEnd"/>
      <w:r>
        <w:rPr>
          <w:color w:val="000000"/>
        </w:rPr>
        <w:t xml:space="preserve"> learning [4].</w:t>
      </w:r>
    </w:p>
    <w:p w14:paraId="2FAC373A" w14:textId="77777777" w:rsidR="00137FAE" w:rsidRDefault="00137FAE"/>
    <w:p w14:paraId="7CCF6B88" w14:textId="77777777" w:rsidR="00137FAE" w:rsidRDefault="00000000">
      <w:pPr>
        <w:spacing w:line="276" w:lineRule="auto"/>
        <w:jc w:val="both"/>
      </w:pPr>
      <w:r>
        <w:rPr>
          <w:color w:val="000000"/>
        </w:rPr>
        <w:t xml:space="preserve">Arquitecturas posteriores como </w:t>
      </w:r>
      <w:proofErr w:type="spellStart"/>
      <w:r>
        <w:rPr>
          <w:color w:val="000000"/>
        </w:rPr>
        <w:t>VGGNet</w:t>
      </w:r>
      <w:proofErr w:type="spellEnd"/>
      <w:r>
        <w:rPr>
          <w:color w:val="000000"/>
        </w:rPr>
        <w:t xml:space="preserve">, </w:t>
      </w:r>
      <w:proofErr w:type="spellStart"/>
      <w:r>
        <w:rPr>
          <w:color w:val="000000"/>
        </w:rPr>
        <w:t>Inception</w:t>
      </w:r>
      <w:proofErr w:type="spellEnd"/>
      <w:r>
        <w:rPr>
          <w:color w:val="000000"/>
        </w:rPr>
        <w:t xml:space="preserve">, </w:t>
      </w:r>
      <w:proofErr w:type="spellStart"/>
      <w:r>
        <w:rPr>
          <w:color w:val="000000"/>
        </w:rPr>
        <w:t>ResNet</w:t>
      </w:r>
      <w:proofErr w:type="spellEnd"/>
      <w:r>
        <w:rPr>
          <w:color w:val="000000"/>
        </w:rPr>
        <w:t xml:space="preserve"> y </w:t>
      </w:r>
      <w:proofErr w:type="spellStart"/>
      <w:r>
        <w:rPr>
          <w:color w:val="000000"/>
        </w:rPr>
        <w:t>DenseNet</w:t>
      </w:r>
      <w:proofErr w:type="spellEnd"/>
      <w:r>
        <w:rPr>
          <w:color w:val="000000"/>
        </w:rPr>
        <w:t xml:space="preserve"> refinaron el diseño de CNN en términos de profundidad, anchura y flujo de información. En particular, las conexiones residuales (</w:t>
      </w:r>
      <w:proofErr w:type="spellStart"/>
      <w:r>
        <w:rPr>
          <w:color w:val="000000"/>
        </w:rPr>
        <w:t>skip</w:t>
      </w:r>
      <w:proofErr w:type="spellEnd"/>
      <w:r>
        <w:rPr>
          <w:color w:val="000000"/>
        </w:rPr>
        <w:t xml:space="preserve"> </w:t>
      </w:r>
      <w:proofErr w:type="spellStart"/>
      <w:r>
        <w:rPr>
          <w:color w:val="000000"/>
        </w:rPr>
        <w:t>connections</w:t>
      </w:r>
      <w:proofErr w:type="spellEnd"/>
      <w:r>
        <w:rPr>
          <w:color w:val="000000"/>
        </w:rPr>
        <w:t xml:space="preserve">) introducidas por He et al. (2016) permitieron entrenar redes con cientos de capas al mitigar el problema del gradiente </w:t>
      </w:r>
      <w:proofErr w:type="spellStart"/>
      <w:r>
        <w:rPr>
          <w:color w:val="000000"/>
        </w:rPr>
        <w:t>desvaneciente</w:t>
      </w:r>
      <w:proofErr w:type="spellEnd"/>
      <w:r>
        <w:rPr>
          <w:color w:val="000000"/>
        </w:rPr>
        <w:t>, alcanzando rendimientos sobresalientes en tareas de clasificación, detección de objetos y segmentación semántica [14].</w:t>
      </w:r>
    </w:p>
    <w:p w14:paraId="3C5D3AD7" w14:textId="77777777" w:rsidR="00137FAE" w:rsidRDefault="00137FAE"/>
    <w:p w14:paraId="5FA71C73" w14:textId="77777777" w:rsidR="00137FAE" w:rsidRDefault="00000000">
      <w:pPr>
        <w:spacing w:line="276" w:lineRule="auto"/>
        <w:jc w:val="both"/>
      </w:pPr>
      <w:r>
        <w:rPr>
          <w:color w:val="000000"/>
        </w:rPr>
        <w:t xml:space="preserve">Las CNN también han demostrado ser adaptables a dominios más allá de las imágenes digitales, incluyendo señales de audio, electroencefalogramas, datos de sensores industriales y secuencias genómicas. Esta versatilidad ha </w:t>
      </w:r>
      <w:r>
        <w:rPr>
          <w:color w:val="000000"/>
        </w:rPr>
        <w:t>impulsado aplicaciones en medicina, ingeniería y ciencias naturales, donde la extracción automática de características supera con frecuencia a los métodos manuales de ingeniería de rasgos [14], [15].</w:t>
      </w:r>
    </w:p>
    <w:p w14:paraId="28FB5985" w14:textId="77777777" w:rsidR="00137FAE" w:rsidRDefault="00137FAE"/>
    <w:p w14:paraId="4DA612D1" w14:textId="77777777" w:rsidR="00137FAE" w:rsidRDefault="00000000">
      <w:pPr>
        <w:spacing w:before="140" w:after="60"/>
      </w:pPr>
      <w:r>
        <w:rPr>
          <w:b/>
          <w:bCs/>
          <w:i/>
          <w:iCs/>
          <w:color w:val="000000"/>
        </w:rPr>
        <w:t>C. Redes recurrentes y modelado de secuencias</w:t>
      </w:r>
    </w:p>
    <w:p w14:paraId="772CAB0C" w14:textId="77777777" w:rsidR="00137FAE" w:rsidRDefault="00000000">
      <w:pPr>
        <w:spacing w:line="276" w:lineRule="auto"/>
        <w:jc w:val="both"/>
      </w:pPr>
      <w:r>
        <w:rPr>
          <w:color w:val="000000"/>
        </w:rPr>
        <w:t>Las redes neuronales recurrentes (RNN) y sus variantes con memoria a largo plazo —como las LSTM (Long Short-</w:t>
      </w:r>
      <w:proofErr w:type="spellStart"/>
      <w:r>
        <w:rPr>
          <w:color w:val="000000"/>
        </w:rPr>
        <w:t>Term</w:t>
      </w:r>
      <w:proofErr w:type="spellEnd"/>
      <w:r>
        <w:rPr>
          <w:color w:val="000000"/>
        </w:rPr>
        <w:t xml:space="preserve"> </w:t>
      </w:r>
      <w:proofErr w:type="spellStart"/>
      <w:r>
        <w:rPr>
          <w:color w:val="000000"/>
        </w:rPr>
        <w:t>Memory</w:t>
      </w:r>
      <w:proofErr w:type="spellEnd"/>
      <w:r>
        <w:rPr>
          <w:color w:val="000000"/>
        </w:rPr>
        <w:t>) y las GRU (</w:t>
      </w:r>
      <w:proofErr w:type="spellStart"/>
      <w:r>
        <w:rPr>
          <w:color w:val="000000"/>
        </w:rPr>
        <w:t>Gated</w:t>
      </w:r>
      <w:proofErr w:type="spellEnd"/>
      <w:r>
        <w:rPr>
          <w:color w:val="000000"/>
        </w:rPr>
        <w:t xml:space="preserve"> </w:t>
      </w:r>
      <w:proofErr w:type="spellStart"/>
      <w:r>
        <w:rPr>
          <w:color w:val="000000"/>
        </w:rPr>
        <w:t>Recurrent</w:t>
      </w:r>
      <w:proofErr w:type="spellEnd"/>
      <w:r>
        <w:rPr>
          <w:color w:val="000000"/>
        </w:rPr>
        <w:t xml:space="preserve"> </w:t>
      </w:r>
      <w:proofErr w:type="spellStart"/>
      <w:r>
        <w:rPr>
          <w:color w:val="000000"/>
        </w:rPr>
        <w:t>Units</w:t>
      </w:r>
      <w:proofErr w:type="spellEnd"/>
      <w:r>
        <w:rPr>
          <w:color w:val="000000"/>
        </w:rPr>
        <w:t>)— fueron el estándar para el modelado de secuencias durante la primera mitad de la década de 2010. Estas arquitecturas procesan datos secuenciales manteniendo un estado interno que captura dependencias a lo largo del tiempo, lo que las hace naturalmente adecuadas para series temporales, texto y voz [5].</w:t>
      </w:r>
    </w:p>
    <w:p w14:paraId="07AAE45F" w14:textId="77777777" w:rsidR="00137FAE" w:rsidRDefault="00137FAE"/>
    <w:p w14:paraId="4207D17A" w14:textId="77777777" w:rsidR="00137FAE" w:rsidRDefault="00000000">
      <w:pPr>
        <w:spacing w:line="276" w:lineRule="auto"/>
        <w:jc w:val="both"/>
      </w:pPr>
      <w:r>
        <w:rPr>
          <w:color w:val="000000"/>
        </w:rPr>
        <w:t>Sin embargo, las RNN presentan limitaciones inherentes: son difíciles de paralelizar durante el entrenamiento porque procesan un elemento a la vez, y su capacidad para capturar dependencias de largo alcance sigue siendo limitada en la práctica, a pesar de las mejoras que introdujeron las LSTM respecto a las RNN simples [5]. Estas limitaciones motivaron la búsqueda de arquitecturas alternativas, lo que condujo al desarrollo de los mecanismos de atención y, finalmente, a los transformadores.</w:t>
      </w:r>
    </w:p>
    <w:p w14:paraId="40FBFB4E" w14:textId="77777777" w:rsidR="00137FAE" w:rsidRDefault="00137FAE"/>
    <w:p w14:paraId="1DE4ABD7" w14:textId="77777777" w:rsidR="00137FAE" w:rsidRDefault="00000000">
      <w:pPr>
        <w:spacing w:before="140" w:after="60"/>
      </w:pPr>
      <w:r>
        <w:rPr>
          <w:b/>
          <w:bCs/>
          <w:i/>
          <w:iCs/>
          <w:color w:val="000000"/>
        </w:rPr>
        <w:t>D. La arquitectura transformadora (</w:t>
      </w:r>
      <w:proofErr w:type="spellStart"/>
      <w:r>
        <w:rPr>
          <w:b/>
          <w:bCs/>
          <w:i/>
          <w:iCs/>
          <w:color w:val="000000"/>
        </w:rPr>
        <w:t>Transformer</w:t>
      </w:r>
      <w:proofErr w:type="spellEnd"/>
      <w:r>
        <w:rPr>
          <w:b/>
          <w:bCs/>
          <w:i/>
          <w:iCs/>
          <w:color w:val="000000"/>
        </w:rPr>
        <w:t>)</w:t>
      </w:r>
    </w:p>
    <w:p w14:paraId="68A11C0A" w14:textId="77777777" w:rsidR="00137FAE" w:rsidRDefault="00000000">
      <w:pPr>
        <w:spacing w:line="276" w:lineRule="auto"/>
        <w:jc w:val="both"/>
      </w:pPr>
      <w:r>
        <w:rPr>
          <w:color w:val="000000"/>
        </w:rPr>
        <w:t>La publicación de "</w:t>
      </w:r>
      <w:proofErr w:type="spellStart"/>
      <w:r>
        <w:rPr>
          <w:color w:val="000000"/>
        </w:rPr>
        <w:t>Attention</w:t>
      </w:r>
      <w:proofErr w:type="spellEnd"/>
      <w:r>
        <w:rPr>
          <w:color w:val="000000"/>
        </w:rPr>
        <w:t xml:space="preserve"> </w:t>
      </w:r>
      <w:proofErr w:type="spellStart"/>
      <w:r>
        <w:rPr>
          <w:color w:val="000000"/>
        </w:rPr>
        <w:t>Is</w:t>
      </w:r>
      <w:proofErr w:type="spellEnd"/>
      <w:r>
        <w:rPr>
          <w:color w:val="000000"/>
        </w:rPr>
        <w:t xml:space="preserve"> </w:t>
      </w:r>
      <w:proofErr w:type="spellStart"/>
      <w:r>
        <w:rPr>
          <w:color w:val="000000"/>
        </w:rPr>
        <w:t>All</w:t>
      </w:r>
      <w:proofErr w:type="spellEnd"/>
      <w:r>
        <w:rPr>
          <w:color w:val="000000"/>
        </w:rPr>
        <w:t xml:space="preserve"> </w:t>
      </w:r>
      <w:proofErr w:type="spellStart"/>
      <w:r>
        <w:rPr>
          <w:color w:val="000000"/>
        </w:rPr>
        <w:t>You</w:t>
      </w:r>
      <w:proofErr w:type="spellEnd"/>
      <w:r>
        <w:rPr>
          <w:color w:val="000000"/>
        </w:rPr>
        <w:t xml:space="preserve"> </w:t>
      </w:r>
      <w:proofErr w:type="spellStart"/>
      <w:r>
        <w:rPr>
          <w:color w:val="000000"/>
        </w:rPr>
        <w:t>Need</w:t>
      </w:r>
      <w:proofErr w:type="spellEnd"/>
      <w:r>
        <w:rPr>
          <w:color w:val="000000"/>
        </w:rPr>
        <w:t xml:space="preserve">" por </w:t>
      </w:r>
      <w:proofErr w:type="spellStart"/>
      <w:r>
        <w:rPr>
          <w:color w:val="000000"/>
        </w:rPr>
        <w:t>Vaswani</w:t>
      </w:r>
      <w:proofErr w:type="spellEnd"/>
      <w:r>
        <w:rPr>
          <w:color w:val="000000"/>
        </w:rPr>
        <w:t xml:space="preserve"> et al. (2017) marcó un hito en la historia de la IA al proponer una arquitectura completamente basada en mecanismos de atención </w:t>
      </w:r>
      <w:proofErr w:type="spellStart"/>
      <w:r>
        <w:rPr>
          <w:color w:val="000000"/>
        </w:rPr>
        <w:t>multi-cabeza</w:t>
      </w:r>
      <w:proofErr w:type="spellEnd"/>
      <w:r>
        <w:rPr>
          <w:color w:val="000000"/>
        </w:rPr>
        <w:t xml:space="preserve">, eliminando la recurrencia y la convolución [6]. Esta arquitectura, conocida como </w:t>
      </w:r>
      <w:proofErr w:type="spellStart"/>
      <w:r>
        <w:rPr>
          <w:color w:val="000000"/>
        </w:rPr>
        <w:t>Transformer</w:t>
      </w:r>
      <w:proofErr w:type="spellEnd"/>
      <w:r>
        <w:rPr>
          <w:color w:val="000000"/>
        </w:rPr>
        <w:t>, puede procesar secuencias completas en paralelo, lo que la hace mucho más eficiente computacionalmente para el entrenamiento a gran escala.</w:t>
      </w:r>
    </w:p>
    <w:p w14:paraId="07BD89AC" w14:textId="77777777" w:rsidR="00137FAE" w:rsidRDefault="00137FAE"/>
    <w:p w14:paraId="0D573D64" w14:textId="77777777" w:rsidR="00137FAE" w:rsidRDefault="00000000">
      <w:pPr>
        <w:spacing w:line="276" w:lineRule="auto"/>
        <w:jc w:val="both"/>
      </w:pPr>
      <w:r>
        <w:rPr>
          <w:color w:val="000000"/>
        </w:rPr>
        <w:t>El mecanismo de atención permite que cada elemento de la secuencia de salida considere todos los elementos de la secuencia de entrada con pesos aprendidos, capturando dependencias de largo alcance de manera directa. Esto supuso una mejora cualitativa respecto a las RNN en tareas de traducción automática, donde las dependencias entre palabras distantes son frecuentes y críticas para la comprensión del significado [6].</w:t>
      </w:r>
    </w:p>
    <w:p w14:paraId="66DAD7C1" w14:textId="77777777" w:rsidR="00137FAE" w:rsidRDefault="00137FAE"/>
    <w:p w14:paraId="7493EA51" w14:textId="77777777" w:rsidR="00137FAE" w:rsidRDefault="00000000">
      <w:pPr>
        <w:spacing w:line="276" w:lineRule="auto"/>
        <w:jc w:val="both"/>
      </w:pPr>
      <w:r>
        <w:rPr>
          <w:color w:val="000000"/>
        </w:rPr>
        <w:t>Los transformadores se convirtieron rápidamente en la arquitectura dominante no solo en PLN, sino también en visión por computadora (</w:t>
      </w:r>
      <w:proofErr w:type="spellStart"/>
      <w:r>
        <w:rPr>
          <w:color w:val="000000"/>
        </w:rPr>
        <w:t>Vision</w:t>
      </w:r>
      <w:proofErr w:type="spellEnd"/>
      <w:r>
        <w:rPr>
          <w:color w:val="000000"/>
        </w:rPr>
        <w:t xml:space="preserve"> Transformers, </w:t>
      </w:r>
      <w:proofErr w:type="spellStart"/>
      <w:r>
        <w:rPr>
          <w:color w:val="000000"/>
        </w:rPr>
        <w:t>ViT</w:t>
      </w:r>
      <w:proofErr w:type="spellEnd"/>
      <w:r>
        <w:rPr>
          <w:color w:val="000000"/>
        </w:rPr>
        <w:t xml:space="preserve">), audio, biología computacional y aprendizaje multimodal. Esta generalización sugiere que los mecanismos de atención capturan una forma de razonamiento estadístico </w:t>
      </w:r>
      <w:r>
        <w:rPr>
          <w:color w:val="000000"/>
        </w:rPr>
        <w:lastRenderedPageBreak/>
        <w:t>suficientemente general para ser útil en múltiples dominios [6], [15].</w:t>
      </w:r>
    </w:p>
    <w:p w14:paraId="69911225" w14:textId="77777777" w:rsidR="00137FAE" w:rsidRDefault="00137FAE"/>
    <w:p w14:paraId="7D7204DB" w14:textId="77777777" w:rsidR="00137FAE" w:rsidRDefault="00000000">
      <w:pPr>
        <w:spacing w:before="200" w:after="100"/>
        <w:jc w:val="center"/>
      </w:pPr>
      <w:r>
        <w:rPr>
          <w:b/>
          <w:bCs/>
          <w:caps/>
          <w:color w:val="000000"/>
          <w:sz w:val="22"/>
          <w:szCs w:val="22"/>
        </w:rPr>
        <w:t>V. Procesamiento del Lenguaje Natural</w:t>
      </w:r>
    </w:p>
    <w:p w14:paraId="1A314996" w14:textId="77777777" w:rsidR="00137FAE" w:rsidRDefault="00000000">
      <w:pPr>
        <w:spacing w:before="140" w:after="60"/>
      </w:pPr>
      <w:r>
        <w:rPr>
          <w:b/>
          <w:bCs/>
          <w:i/>
          <w:iCs/>
          <w:color w:val="000000"/>
        </w:rPr>
        <w:t xml:space="preserve">A. Representaciones del lenguaje: de la bolsa de palabras a los </w:t>
      </w:r>
      <w:proofErr w:type="spellStart"/>
      <w:r>
        <w:rPr>
          <w:b/>
          <w:bCs/>
          <w:i/>
          <w:iCs/>
          <w:color w:val="000000"/>
        </w:rPr>
        <w:t>embeddings</w:t>
      </w:r>
      <w:proofErr w:type="spellEnd"/>
    </w:p>
    <w:p w14:paraId="6FE0B510" w14:textId="77777777" w:rsidR="00137FAE" w:rsidRDefault="00000000">
      <w:pPr>
        <w:spacing w:line="276" w:lineRule="auto"/>
        <w:jc w:val="both"/>
      </w:pPr>
      <w:r>
        <w:rPr>
          <w:color w:val="000000"/>
        </w:rPr>
        <w:t>Durante décadas, el PLN se apoyó en representaciones simbólicas y vectoriales dispersas como la bolsa de palabras (bag-of-</w:t>
      </w:r>
      <w:proofErr w:type="spellStart"/>
      <w:r>
        <w:rPr>
          <w:color w:val="000000"/>
        </w:rPr>
        <w:t>words</w:t>
      </w:r>
      <w:proofErr w:type="spellEnd"/>
      <w:r>
        <w:rPr>
          <w:color w:val="000000"/>
        </w:rPr>
        <w:t>) y la ponderación TF-IDF. Si bien estas representaciones son simples y eficientes, no capturan relaciones semánticas entre palabras ni el contexto en que aparecen [5].</w:t>
      </w:r>
    </w:p>
    <w:p w14:paraId="1A8F2226" w14:textId="77777777" w:rsidR="00137FAE" w:rsidRDefault="00137FAE"/>
    <w:p w14:paraId="001DBEAF" w14:textId="77777777" w:rsidR="00137FAE" w:rsidRDefault="00000000">
      <w:pPr>
        <w:spacing w:line="276" w:lineRule="auto"/>
        <w:jc w:val="both"/>
      </w:pPr>
      <w:r>
        <w:rPr>
          <w:color w:val="000000"/>
        </w:rPr>
        <w:t xml:space="preserve">La introducción de representaciones distribuidas del lenguaje —en particular, los </w:t>
      </w:r>
      <w:proofErr w:type="spellStart"/>
      <w:r>
        <w:rPr>
          <w:color w:val="000000"/>
        </w:rPr>
        <w:t>word</w:t>
      </w:r>
      <w:proofErr w:type="spellEnd"/>
      <w:r>
        <w:rPr>
          <w:color w:val="000000"/>
        </w:rPr>
        <w:t xml:space="preserve"> </w:t>
      </w:r>
      <w:proofErr w:type="spellStart"/>
      <w:r>
        <w:rPr>
          <w:color w:val="000000"/>
        </w:rPr>
        <w:t>embeddings</w:t>
      </w:r>
      <w:proofErr w:type="spellEnd"/>
      <w:r>
        <w:rPr>
          <w:color w:val="000000"/>
        </w:rPr>
        <w:t xml:space="preserve">— supuso un cambio paradigmático. Modelos como Word2Vec y </w:t>
      </w:r>
      <w:proofErr w:type="spellStart"/>
      <w:r>
        <w:rPr>
          <w:color w:val="000000"/>
        </w:rPr>
        <w:t>GloVe</w:t>
      </w:r>
      <w:proofErr w:type="spellEnd"/>
      <w:r>
        <w:rPr>
          <w:color w:val="000000"/>
        </w:rPr>
        <w:t xml:space="preserve"> aprendieron vectores densos de baja dimensionalidad que codifican relaciones semánticas y sintácticas. Una propiedad famosa de estas representaciones es que operaciones aritméticas sobre vectores reflejan relaciones del lenguaje: el vector de "rey" menos "hombre" más "mujer" resulta en un vector próximo a "reina" [16].</w:t>
      </w:r>
    </w:p>
    <w:p w14:paraId="1028FFDE" w14:textId="77777777" w:rsidR="00137FAE" w:rsidRDefault="00137FAE"/>
    <w:p w14:paraId="0FEC9549" w14:textId="77777777" w:rsidR="00137FAE" w:rsidRDefault="00000000">
      <w:pPr>
        <w:spacing w:line="276" w:lineRule="auto"/>
        <w:jc w:val="both"/>
      </w:pPr>
      <w:r>
        <w:rPr>
          <w:color w:val="000000"/>
        </w:rPr>
        <w:t xml:space="preserve">Sin embargo, los </w:t>
      </w:r>
      <w:proofErr w:type="spellStart"/>
      <w:r>
        <w:rPr>
          <w:color w:val="000000"/>
        </w:rPr>
        <w:t>embeddings</w:t>
      </w:r>
      <w:proofErr w:type="spellEnd"/>
      <w:r>
        <w:rPr>
          <w:color w:val="000000"/>
        </w:rPr>
        <w:t xml:space="preserve"> estáticos presentan una limitación fundamental: una misma palabra tiene un único vector independientemente de su contexto. Esta limitación motivó el desarrollo de representaciones contextualizadas, donde la representación de una palabra depende de las palabras que la rodean en cada oración específica [17].</w:t>
      </w:r>
    </w:p>
    <w:p w14:paraId="0227C4C1" w14:textId="77777777" w:rsidR="00137FAE" w:rsidRDefault="00137FAE"/>
    <w:p w14:paraId="4AB3E4BB" w14:textId="77777777" w:rsidR="00137FAE" w:rsidRDefault="00000000">
      <w:pPr>
        <w:spacing w:before="140" w:after="60"/>
      </w:pPr>
      <w:r>
        <w:rPr>
          <w:b/>
          <w:bCs/>
          <w:i/>
          <w:iCs/>
          <w:color w:val="000000"/>
        </w:rPr>
        <w:t xml:space="preserve">B. Modelos de lenguaje </w:t>
      </w:r>
      <w:proofErr w:type="spellStart"/>
      <w:r>
        <w:rPr>
          <w:b/>
          <w:bCs/>
          <w:i/>
          <w:iCs/>
          <w:color w:val="000000"/>
        </w:rPr>
        <w:t>preentrenados</w:t>
      </w:r>
      <w:proofErr w:type="spellEnd"/>
      <w:r>
        <w:rPr>
          <w:b/>
          <w:bCs/>
          <w:i/>
          <w:iCs/>
          <w:color w:val="000000"/>
        </w:rPr>
        <w:t xml:space="preserve"> y aprendizaje por transferencia</w:t>
      </w:r>
    </w:p>
    <w:p w14:paraId="725AA3F2" w14:textId="77777777" w:rsidR="00137FAE" w:rsidRDefault="00000000">
      <w:pPr>
        <w:spacing w:line="276" w:lineRule="auto"/>
        <w:jc w:val="both"/>
      </w:pPr>
      <w:r>
        <w:rPr>
          <w:color w:val="000000"/>
        </w:rPr>
        <w:t xml:space="preserve">El aprendizaje por transferencia (transfer learning) en PLN consiste en </w:t>
      </w:r>
      <w:proofErr w:type="spellStart"/>
      <w:r>
        <w:rPr>
          <w:color w:val="000000"/>
        </w:rPr>
        <w:t>preentrenar</w:t>
      </w:r>
      <w:proofErr w:type="spellEnd"/>
      <w:r>
        <w:rPr>
          <w:color w:val="000000"/>
        </w:rPr>
        <w:t xml:space="preserve"> un modelo de lenguaje sobre grandes corpus de texto no etiquetado y luego ajustarlo (fine-</w:t>
      </w:r>
      <w:proofErr w:type="spellStart"/>
      <w:r>
        <w:rPr>
          <w:color w:val="000000"/>
        </w:rPr>
        <w:t>tuning</w:t>
      </w:r>
      <w:proofErr w:type="spellEnd"/>
      <w:r>
        <w:rPr>
          <w:color w:val="000000"/>
        </w:rPr>
        <w:t>) para tareas específicas. Este paradigma redujo drásticamente la necesidad de datos etiquetados en tareas de PLN y democratizó el acceso a modelos de alto rendimiento [17].</w:t>
      </w:r>
    </w:p>
    <w:p w14:paraId="1A505EF2" w14:textId="77777777" w:rsidR="00137FAE" w:rsidRDefault="00137FAE"/>
    <w:p w14:paraId="18573046" w14:textId="77777777" w:rsidR="00137FAE" w:rsidRDefault="00000000">
      <w:pPr>
        <w:spacing w:line="276" w:lineRule="auto"/>
        <w:jc w:val="both"/>
      </w:pPr>
      <w:r>
        <w:rPr>
          <w:color w:val="000000"/>
        </w:rPr>
        <w:t>BERT (</w:t>
      </w:r>
      <w:proofErr w:type="spellStart"/>
      <w:r>
        <w:rPr>
          <w:color w:val="000000"/>
        </w:rPr>
        <w:t>Bidirectional</w:t>
      </w:r>
      <w:proofErr w:type="spellEnd"/>
      <w:r>
        <w:rPr>
          <w:color w:val="000000"/>
        </w:rPr>
        <w:t xml:space="preserve"> </w:t>
      </w:r>
      <w:proofErr w:type="spellStart"/>
      <w:r>
        <w:rPr>
          <w:color w:val="000000"/>
        </w:rPr>
        <w:t>Encoder</w:t>
      </w:r>
      <w:proofErr w:type="spellEnd"/>
      <w:r>
        <w:rPr>
          <w:color w:val="000000"/>
        </w:rPr>
        <w:t xml:space="preserve"> </w:t>
      </w:r>
      <w:proofErr w:type="spellStart"/>
      <w:r>
        <w:rPr>
          <w:color w:val="000000"/>
        </w:rPr>
        <w:t>Representations</w:t>
      </w:r>
      <w:proofErr w:type="spellEnd"/>
      <w:r>
        <w:rPr>
          <w:color w:val="000000"/>
        </w:rPr>
        <w:t xml:space="preserve"> </w:t>
      </w:r>
      <w:proofErr w:type="spellStart"/>
      <w:r>
        <w:rPr>
          <w:color w:val="000000"/>
        </w:rPr>
        <w:t>from</w:t>
      </w:r>
      <w:proofErr w:type="spellEnd"/>
      <w:r>
        <w:rPr>
          <w:color w:val="000000"/>
        </w:rPr>
        <w:t xml:space="preserve"> Transformers), propuesto por </w:t>
      </w:r>
      <w:proofErr w:type="spellStart"/>
      <w:r>
        <w:rPr>
          <w:color w:val="000000"/>
        </w:rPr>
        <w:t>Devlin</w:t>
      </w:r>
      <w:proofErr w:type="spellEnd"/>
      <w:r>
        <w:rPr>
          <w:color w:val="000000"/>
        </w:rPr>
        <w:t xml:space="preserve"> et al. (2019), demostró que el preentrenamiento bidireccional —donde el modelo tiene acceso simultáneo al contexto izquierdo y derecho de cada palabra— produce representaciones superiores para tareas de comprensión del lenguaje. BERT superó el estado del arte en once tareas de PLN en el momento de su publicación [17].</w:t>
      </w:r>
    </w:p>
    <w:p w14:paraId="63E3B668" w14:textId="77777777" w:rsidR="00137FAE" w:rsidRDefault="00137FAE"/>
    <w:p w14:paraId="31D9B0D6" w14:textId="77777777" w:rsidR="00137FAE" w:rsidRDefault="00000000">
      <w:pPr>
        <w:spacing w:line="276" w:lineRule="auto"/>
        <w:jc w:val="both"/>
      </w:pPr>
      <w:r>
        <w:rPr>
          <w:color w:val="000000"/>
        </w:rPr>
        <w:t xml:space="preserve">Por su parte, la familia GPT (Generative </w:t>
      </w:r>
      <w:proofErr w:type="spellStart"/>
      <w:r>
        <w:rPr>
          <w:color w:val="000000"/>
        </w:rPr>
        <w:t>Pre-trained</w:t>
      </w:r>
      <w:proofErr w:type="spellEnd"/>
      <w:r>
        <w:rPr>
          <w:color w:val="000000"/>
        </w:rPr>
        <w:t xml:space="preserve"> </w:t>
      </w:r>
      <w:proofErr w:type="spellStart"/>
      <w:r>
        <w:rPr>
          <w:color w:val="000000"/>
        </w:rPr>
        <w:t>Transformer</w:t>
      </w:r>
      <w:proofErr w:type="spellEnd"/>
      <w:r>
        <w:rPr>
          <w:color w:val="000000"/>
        </w:rPr>
        <w:t xml:space="preserve">), desarrollada por </w:t>
      </w:r>
      <w:proofErr w:type="spellStart"/>
      <w:r>
        <w:rPr>
          <w:color w:val="000000"/>
        </w:rPr>
        <w:t>OpenAI</w:t>
      </w:r>
      <w:proofErr w:type="spellEnd"/>
      <w:r>
        <w:rPr>
          <w:color w:val="000000"/>
        </w:rPr>
        <w:t xml:space="preserve">, adoptó un enfoque </w:t>
      </w:r>
      <w:proofErr w:type="spellStart"/>
      <w:r>
        <w:rPr>
          <w:color w:val="000000"/>
        </w:rPr>
        <w:t>autoregresivo</w:t>
      </w:r>
      <w:proofErr w:type="spellEnd"/>
      <w:r>
        <w:rPr>
          <w:color w:val="000000"/>
        </w:rPr>
        <w:t>: el modelo predice la siguiente palabra dado el contexto previo. GPT-3, publicado en 2020, demostró que el escalado masivo del modelo y los datos de entrenamiento producen capacidades emergentes de aprendizaje en contexto (</w:t>
      </w:r>
      <w:proofErr w:type="spellStart"/>
      <w:r>
        <w:rPr>
          <w:color w:val="000000"/>
        </w:rPr>
        <w:t>in-context</w:t>
      </w:r>
      <w:proofErr w:type="spellEnd"/>
      <w:r>
        <w:rPr>
          <w:color w:val="000000"/>
        </w:rPr>
        <w:t xml:space="preserve"> learning), donde el modelo puede ejecutar tareas nuevas con solo unos pocos ejemplos en el </w:t>
      </w:r>
      <w:proofErr w:type="spellStart"/>
      <w:r>
        <w:rPr>
          <w:color w:val="000000"/>
        </w:rPr>
        <w:t>prompt</w:t>
      </w:r>
      <w:proofErr w:type="spellEnd"/>
      <w:r>
        <w:rPr>
          <w:color w:val="000000"/>
        </w:rPr>
        <w:t>, sin actualizar los pesos [18].</w:t>
      </w:r>
    </w:p>
    <w:p w14:paraId="0761E1A7" w14:textId="77777777" w:rsidR="00137FAE" w:rsidRDefault="00137FAE"/>
    <w:p w14:paraId="511A8A53" w14:textId="77777777" w:rsidR="00137FAE" w:rsidRDefault="00000000">
      <w:pPr>
        <w:spacing w:before="140" w:after="60"/>
      </w:pPr>
      <w:r>
        <w:rPr>
          <w:b/>
          <w:bCs/>
          <w:i/>
          <w:iCs/>
          <w:color w:val="000000"/>
        </w:rPr>
        <w:t>C. Modelos de lenguaje de gran escala (LLM)</w:t>
      </w:r>
    </w:p>
    <w:p w14:paraId="02397703" w14:textId="77777777" w:rsidR="00137FAE" w:rsidRDefault="00000000">
      <w:pPr>
        <w:spacing w:line="276" w:lineRule="auto"/>
        <w:jc w:val="both"/>
      </w:pPr>
      <w:r>
        <w:rPr>
          <w:color w:val="000000"/>
        </w:rPr>
        <w:t>Los modelos de lenguaje de gran escala (</w:t>
      </w:r>
      <w:proofErr w:type="spellStart"/>
      <w:r>
        <w:rPr>
          <w:color w:val="000000"/>
        </w:rPr>
        <w:t>Large</w:t>
      </w:r>
      <w:proofErr w:type="spellEnd"/>
      <w:r>
        <w:rPr>
          <w:color w:val="000000"/>
        </w:rPr>
        <w:t xml:space="preserve"> </w:t>
      </w:r>
      <w:proofErr w:type="spellStart"/>
      <w:r>
        <w:rPr>
          <w:color w:val="000000"/>
        </w:rPr>
        <w:t>Language</w:t>
      </w:r>
      <w:proofErr w:type="spellEnd"/>
      <w:r>
        <w:rPr>
          <w:color w:val="000000"/>
        </w:rPr>
        <w:t xml:space="preserve"> </w:t>
      </w:r>
      <w:proofErr w:type="spellStart"/>
      <w:r>
        <w:rPr>
          <w:color w:val="000000"/>
        </w:rPr>
        <w:t>Models</w:t>
      </w:r>
      <w:proofErr w:type="spellEnd"/>
      <w:r>
        <w:rPr>
          <w:color w:val="000000"/>
        </w:rPr>
        <w:t>, LLM) representan la tendencia dominante en PLN y, en términos más amplios, en IA aplicada. Estos modelos se caracterizan por tener miles de millones —o incluso billones— de parámetros, ser entrenados sobre cantidades masivas de texto proveniente de internet, libros y otras fuentes, y exhibir capacidades que no fueron explícitamente programadas [18].</w:t>
      </w:r>
    </w:p>
    <w:p w14:paraId="71974DEF" w14:textId="77777777" w:rsidR="00137FAE" w:rsidRDefault="00137FAE"/>
    <w:p w14:paraId="5495AB3B" w14:textId="77777777" w:rsidR="00137FAE" w:rsidRDefault="00000000">
      <w:pPr>
        <w:spacing w:line="276" w:lineRule="auto"/>
        <w:jc w:val="both"/>
      </w:pPr>
      <w:r>
        <w:rPr>
          <w:color w:val="000000"/>
        </w:rPr>
        <w:t>Uno de los hallazgos más relevantes en la investigación sobre LLM es la aparición de capacidades emergentes: comportamientos que no estaban presentes en modelos más pequeños y que surgen de manera cualitativa al incrementar la escala. Esto incluye razonamiento aritmético, resolución de problemas lógicos, generación de código y traducción a idiomas no vistos durante el entrenamiento [18], [19].</w:t>
      </w:r>
    </w:p>
    <w:p w14:paraId="0CD6EC73" w14:textId="77777777" w:rsidR="00137FAE" w:rsidRDefault="00137FAE"/>
    <w:p w14:paraId="2C39AE7A" w14:textId="77777777" w:rsidR="00137FAE" w:rsidRDefault="00000000">
      <w:pPr>
        <w:spacing w:line="276" w:lineRule="auto"/>
        <w:jc w:val="both"/>
      </w:pPr>
      <w:r>
        <w:rPr>
          <w:color w:val="000000"/>
        </w:rPr>
        <w:t>Sin embargo, los LLM presentan limitaciones importantes que la literatura señala con creciente claridad. Los modelos pueden generar texto fluido pero factualmente incorrecto, fenómeno conocido como «alucinación». Además, exhiben sesgos heredados de los datos de entrenamiento, presentan dificultades para razonar de forma consistente y son costosos de entrenar y operar [19]. Estas limitaciones han motivado líneas de investigación activas en alineación de modelos, recuperación aumentada (RAG) y razonamiento estructurado.</w:t>
      </w:r>
    </w:p>
    <w:p w14:paraId="3BE748BA" w14:textId="77777777" w:rsidR="00137FAE" w:rsidRDefault="00137FAE"/>
    <w:p w14:paraId="32DDC935" w14:textId="77777777" w:rsidR="00137FAE" w:rsidRDefault="00000000">
      <w:pPr>
        <w:spacing w:before="140" w:after="60"/>
      </w:pPr>
      <w:r>
        <w:rPr>
          <w:b/>
          <w:bCs/>
          <w:i/>
          <w:iCs/>
          <w:color w:val="000000"/>
        </w:rPr>
        <w:t>D. Tareas y aplicaciones del PLN</w:t>
      </w:r>
    </w:p>
    <w:p w14:paraId="017CD498" w14:textId="77777777" w:rsidR="00137FAE" w:rsidRDefault="00000000">
      <w:pPr>
        <w:spacing w:line="276" w:lineRule="auto"/>
        <w:jc w:val="both"/>
      </w:pPr>
      <w:r>
        <w:rPr>
          <w:color w:val="000000"/>
        </w:rPr>
        <w:t>El PLN abarca un conjunto amplio de tareas. La clasificación de textos asigna categorías a documentos o fragmentos de texto, con aplicaciones en análisis de sentimientos, detección de spam y categorización de noticias. La extracción de información identifica entidades nombradas, relaciones y eventos en texto libre. La traducción automática neural convierte texto entre idiomas, y la generación de texto produce secuencias coherentes a partir de una entrada [5], [6].</w:t>
      </w:r>
    </w:p>
    <w:p w14:paraId="2CF472A2" w14:textId="77777777" w:rsidR="00137FAE" w:rsidRDefault="00137FAE"/>
    <w:p w14:paraId="38DE7929" w14:textId="77777777" w:rsidR="00137FAE" w:rsidRDefault="00000000">
      <w:pPr>
        <w:spacing w:line="276" w:lineRule="auto"/>
        <w:jc w:val="both"/>
      </w:pPr>
      <w:r>
        <w:rPr>
          <w:color w:val="000000"/>
        </w:rPr>
        <w:t>La comprensión del lenguaje natural (NLU) y la generación del lenguaje natural (NLG) son complementarias: la primera se enfoca en interpretar el significado del texto y la segunda en producir texto comprensible y relevante. Las tareas de respuesta a preguntas, resumen automático y diálogo conversacional combinan habilidades de NLU y NLG, y representan algunos de los desafíos más activos en la investigación actual [5], [17].</w:t>
      </w:r>
    </w:p>
    <w:p w14:paraId="49DAE3BC" w14:textId="77777777" w:rsidR="00137FAE" w:rsidRDefault="00137FAE"/>
    <w:p w14:paraId="6D5F908A" w14:textId="77777777" w:rsidR="00137FAE" w:rsidRDefault="00000000">
      <w:pPr>
        <w:spacing w:before="200" w:after="100"/>
        <w:jc w:val="center"/>
      </w:pPr>
      <w:r>
        <w:rPr>
          <w:b/>
          <w:bCs/>
          <w:caps/>
          <w:color w:val="000000"/>
          <w:sz w:val="22"/>
          <w:szCs w:val="22"/>
        </w:rPr>
        <w:t>VI. Tendencias Actuales</w:t>
      </w:r>
    </w:p>
    <w:p w14:paraId="0638F7E5" w14:textId="77777777" w:rsidR="00137FAE" w:rsidRDefault="00000000">
      <w:pPr>
        <w:spacing w:line="276" w:lineRule="auto"/>
        <w:jc w:val="both"/>
      </w:pPr>
      <w:r>
        <w:rPr>
          <w:color w:val="000000"/>
        </w:rPr>
        <w:t xml:space="preserve">Una de las tendencias más relevantes es la multimodalidad: los sistemas de IA que integran texto, imagen, audio y video en un marco unificado. Modelos como CLIP (Contrastive </w:t>
      </w:r>
      <w:proofErr w:type="spellStart"/>
      <w:r>
        <w:rPr>
          <w:color w:val="000000"/>
        </w:rPr>
        <w:t>Language-Image</w:t>
      </w:r>
      <w:proofErr w:type="spellEnd"/>
      <w:r>
        <w:rPr>
          <w:color w:val="000000"/>
        </w:rPr>
        <w:t xml:space="preserve"> Pre-Training) y DALL-E mostraron que el aprendizaje conjunto sobre múltiples modalidades permite nuevas capacidades, como la búsqueda de imágenes mediante descripción textual o la generación de imágenes a partir de texto [19], [20].</w:t>
      </w:r>
    </w:p>
    <w:p w14:paraId="528AC61C" w14:textId="77777777" w:rsidR="00137FAE" w:rsidRDefault="00137FAE"/>
    <w:p w14:paraId="30DF09AC" w14:textId="77777777" w:rsidR="00137FAE" w:rsidRDefault="00000000">
      <w:pPr>
        <w:spacing w:line="276" w:lineRule="auto"/>
        <w:jc w:val="both"/>
      </w:pPr>
      <w:r>
        <w:rPr>
          <w:color w:val="000000"/>
        </w:rPr>
        <w:t>La IA explicable (</w:t>
      </w:r>
      <w:proofErr w:type="spellStart"/>
      <w:r>
        <w:rPr>
          <w:color w:val="000000"/>
        </w:rPr>
        <w:t>Explainable</w:t>
      </w:r>
      <w:proofErr w:type="spellEnd"/>
      <w:r>
        <w:rPr>
          <w:color w:val="000000"/>
        </w:rPr>
        <w:t xml:space="preserve"> AI, XAI) ha ganado importancia a medida que los sistemas de IA se despliegan en dominios de alto riesgo como la medicina, la justicia o las finanzas. La necesidad de que los usuarios y responsables de decisiones comprendan el razonamiento de los modelos ha impulsado métodos como LIME, SHAP y visualizaciones de atención, aunque la </w:t>
      </w:r>
      <w:proofErr w:type="spellStart"/>
      <w:r>
        <w:rPr>
          <w:color w:val="000000"/>
        </w:rPr>
        <w:t>explicabilidad</w:t>
      </w:r>
      <w:proofErr w:type="spellEnd"/>
      <w:r>
        <w:rPr>
          <w:color w:val="000000"/>
        </w:rPr>
        <w:t xml:space="preserve"> real de los modelos profundos sigue siendo un problema abierto [13], [20].</w:t>
      </w:r>
    </w:p>
    <w:p w14:paraId="7782DBBB" w14:textId="77777777" w:rsidR="00137FAE" w:rsidRDefault="00137FAE"/>
    <w:p w14:paraId="72348360" w14:textId="77777777" w:rsidR="00137FAE" w:rsidRDefault="00000000">
      <w:pPr>
        <w:spacing w:line="276" w:lineRule="auto"/>
        <w:jc w:val="both"/>
      </w:pPr>
      <w:r>
        <w:rPr>
          <w:color w:val="000000"/>
        </w:rPr>
        <w:t>El aprendizaje federado (</w:t>
      </w:r>
      <w:proofErr w:type="spellStart"/>
      <w:r>
        <w:rPr>
          <w:color w:val="000000"/>
        </w:rPr>
        <w:t>federated</w:t>
      </w:r>
      <w:proofErr w:type="spellEnd"/>
      <w:r>
        <w:rPr>
          <w:color w:val="000000"/>
        </w:rPr>
        <w:t xml:space="preserve"> learning) propone entrenar modelos sobre datos distribuidos sin que estos sean centralizados, lo que permite preservar la privacidad de usuarios en aplicaciones médicas, financieras o de telecomunicaciones. Este paradigma introduce nuevos desafíos de comunicación eficiente, heterogeneidad de datos y robustez frente a participantes adversariales [15].</w:t>
      </w:r>
    </w:p>
    <w:p w14:paraId="63A0F02F" w14:textId="77777777" w:rsidR="00137FAE" w:rsidRDefault="00137FAE"/>
    <w:p w14:paraId="302B3416" w14:textId="77777777" w:rsidR="00137FAE" w:rsidRDefault="00000000">
      <w:pPr>
        <w:spacing w:line="276" w:lineRule="auto"/>
        <w:jc w:val="both"/>
      </w:pPr>
      <w:r>
        <w:rPr>
          <w:color w:val="000000"/>
        </w:rPr>
        <w:t>La búsqueda de eficiencia computacional ha producido técnicas de destilación de conocimiento (</w:t>
      </w:r>
      <w:proofErr w:type="spellStart"/>
      <w:r>
        <w:rPr>
          <w:color w:val="000000"/>
        </w:rPr>
        <w:t>knowledge</w:t>
      </w:r>
      <w:proofErr w:type="spellEnd"/>
      <w:r>
        <w:rPr>
          <w:color w:val="000000"/>
        </w:rPr>
        <w:t xml:space="preserve"> </w:t>
      </w:r>
      <w:proofErr w:type="spellStart"/>
      <w:r>
        <w:rPr>
          <w:color w:val="000000"/>
        </w:rPr>
        <w:t>distillation</w:t>
      </w:r>
      <w:proofErr w:type="spellEnd"/>
      <w:r>
        <w:rPr>
          <w:color w:val="000000"/>
        </w:rPr>
        <w:t>), poda (</w:t>
      </w:r>
      <w:proofErr w:type="spellStart"/>
      <w:r>
        <w:rPr>
          <w:color w:val="000000"/>
        </w:rPr>
        <w:t>pruning</w:t>
      </w:r>
      <w:proofErr w:type="spellEnd"/>
      <w:r>
        <w:rPr>
          <w:color w:val="000000"/>
        </w:rPr>
        <w:t>) y cuantización (</w:t>
      </w:r>
      <w:proofErr w:type="spellStart"/>
      <w:r>
        <w:rPr>
          <w:color w:val="000000"/>
        </w:rPr>
        <w:t>quantization</w:t>
      </w:r>
      <w:proofErr w:type="spellEnd"/>
      <w:r>
        <w:rPr>
          <w:color w:val="000000"/>
        </w:rPr>
        <w:t>), que permiten desplegar modelos reducidos con rendimiento similar al de los modelos completos en dispositivos con recursos limitados. Esta tendencia es crucial para llevar la IA a aplicaciones de borde (</w:t>
      </w:r>
      <w:proofErr w:type="spellStart"/>
      <w:r>
        <w:rPr>
          <w:color w:val="000000"/>
        </w:rPr>
        <w:t>edge</w:t>
      </w:r>
      <w:proofErr w:type="spellEnd"/>
      <w:r>
        <w:rPr>
          <w:color w:val="000000"/>
        </w:rPr>
        <w:t xml:space="preserve"> AI) como dispositivos móviles, sensores industriales y vehículos autónomos [15], [19].</w:t>
      </w:r>
    </w:p>
    <w:p w14:paraId="0479F0E2" w14:textId="77777777" w:rsidR="00137FAE" w:rsidRDefault="00137FAE"/>
    <w:p w14:paraId="551ACD1E" w14:textId="77777777" w:rsidR="00137FAE" w:rsidRDefault="00000000">
      <w:pPr>
        <w:spacing w:line="276" w:lineRule="auto"/>
        <w:jc w:val="both"/>
      </w:pPr>
      <w:r>
        <w:rPr>
          <w:color w:val="000000"/>
        </w:rPr>
        <w:t xml:space="preserve">Finalmente, el razonamiento aumentado y la integración de LLM con herramientas externas —como bases de datos, </w:t>
      </w:r>
      <w:r>
        <w:rPr>
          <w:color w:val="000000"/>
        </w:rPr>
        <w:t>intérpretes de código y buscadores— representa una frontera activa. Los agentes de IA que combinan modelos de lenguaje con capacidad de acción en entornos reales abren posibilidades tanto prometedoras como desafiantes en términos de seguridad, confiabilidad y gobernanza [18], [19].</w:t>
      </w:r>
    </w:p>
    <w:p w14:paraId="003BC887" w14:textId="77777777" w:rsidR="00137FAE" w:rsidRDefault="00137FAE"/>
    <w:p w14:paraId="1088813E" w14:textId="77777777" w:rsidR="00137FAE" w:rsidRDefault="00000000">
      <w:pPr>
        <w:spacing w:before="200" w:after="100"/>
        <w:jc w:val="center"/>
      </w:pPr>
      <w:r>
        <w:rPr>
          <w:b/>
          <w:bCs/>
          <w:caps/>
          <w:color w:val="000000"/>
          <w:sz w:val="22"/>
          <w:szCs w:val="22"/>
        </w:rPr>
        <w:t>VII. Discusión</w:t>
      </w:r>
    </w:p>
    <w:p w14:paraId="5FD2E2B7" w14:textId="77777777" w:rsidR="00137FAE" w:rsidRDefault="00000000">
      <w:pPr>
        <w:spacing w:line="276" w:lineRule="auto"/>
        <w:jc w:val="both"/>
      </w:pPr>
      <w:r>
        <w:rPr>
          <w:color w:val="000000"/>
        </w:rPr>
        <w:t xml:space="preserve">La revisión realizada muestra que el aprendizaje automático, el </w:t>
      </w:r>
      <w:proofErr w:type="spellStart"/>
      <w:r>
        <w:rPr>
          <w:color w:val="000000"/>
        </w:rPr>
        <w:t>deep</w:t>
      </w:r>
      <w:proofErr w:type="spellEnd"/>
      <w:r>
        <w:rPr>
          <w:color w:val="000000"/>
        </w:rPr>
        <w:t xml:space="preserve"> learning y el PLN no son áreas independientes, sino que se articulan y retroalimentan. Las redes profundas son la base de los modelos modernos de PLN, y los avances en PLN han influido a su vez en arquitecturas adoptadas en visión y audio. Esta convergencia es visible en la generalización de los transformadores hacia múltiples dominios [6], [14].</w:t>
      </w:r>
    </w:p>
    <w:p w14:paraId="385081B8" w14:textId="77777777" w:rsidR="00137FAE" w:rsidRDefault="00137FAE"/>
    <w:p w14:paraId="038D49D6" w14:textId="77777777" w:rsidR="00137FAE" w:rsidRDefault="00000000">
      <w:pPr>
        <w:spacing w:line="276" w:lineRule="auto"/>
        <w:jc w:val="both"/>
      </w:pPr>
      <w:r>
        <w:rPr>
          <w:color w:val="000000"/>
        </w:rPr>
        <w:t xml:space="preserve">Un aspecto que merece atención crítica es la brecha entre el rendimiento en </w:t>
      </w:r>
      <w:proofErr w:type="spellStart"/>
      <w:r>
        <w:rPr>
          <w:color w:val="000000"/>
        </w:rPr>
        <w:t>benchmarks</w:t>
      </w:r>
      <w:proofErr w:type="spellEnd"/>
      <w:r>
        <w:rPr>
          <w:color w:val="000000"/>
        </w:rPr>
        <w:t xml:space="preserve"> y la utilidad real en aplicaciones. La literatura muestra repetidamente que un modelo que alcanza resultados sobresalientes en conjuntos de datos estándar puede fallar de manera sistemática en condiciones del mundo real, ya sea por distribución de datos diferente, ambigüedad del lenguaje natural o sesgos no anticipados [13], [19]. Esta discrepancia subraya la importancia de una evaluación rigurosa y contextualizada.</w:t>
      </w:r>
    </w:p>
    <w:p w14:paraId="5E564FFC" w14:textId="77777777" w:rsidR="00137FAE" w:rsidRDefault="00137FAE"/>
    <w:p w14:paraId="30476E0F" w14:textId="77777777" w:rsidR="00137FAE" w:rsidRDefault="00000000">
      <w:pPr>
        <w:spacing w:line="276" w:lineRule="auto"/>
        <w:jc w:val="both"/>
      </w:pPr>
      <w:r>
        <w:rPr>
          <w:color w:val="000000"/>
        </w:rPr>
        <w:t>Desde una perspectiva académica y de formación, resulta importante entender que la IA no es una caja negra incomprensible ni una tecnología omnipotente. Sus logros son reales y significativos, pero también lo son sus limitaciones: necesidad de datos, coste computacional, opacidad interna, tendencia a los sesgos y dificultad para razonar de manera robusta fuera de distribución [3], [13]. Reconocer estas limitaciones es el primer paso para aplicar la IA de manera responsable y efectiva.</w:t>
      </w:r>
    </w:p>
    <w:p w14:paraId="3F56046D" w14:textId="77777777" w:rsidR="00137FAE" w:rsidRDefault="00137FAE"/>
    <w:p w14:paraId="61F48E4E" w14:textId="77777777" w:rsidR="00137FAE" w:rsidRDefault="00000000">
      <w:pPr>
        <w:spacing w:line="276" w:lineRule="auto"/>
        <w:jc w:val="both"/>
      </w:pPr>
      <w:r>
        <w:rPr>
          <w:color w:val="000000"/>
        </w:rPr>
        <w:t xml:space="preserve">El campo avanza rápidamente, pero los fundamentos —álgebra lineal, probabilidad, teoría de la optimización y estadística— permanecen estables y constituyen el sustento intelectual de todos los métodos revisados. Por ello, una formación sólida en estos fundamentos es más valiosa a largo plazo que el conocimiento de herramientas o </w:t>
      </w:r>
      <w:proofErr w:type="spellStart"/>
      <w:r>
        <w:rPr>
          <w:color w:val="000000"/>
        </w:rPr>
        <w:t>frameworks</w:t>
      </w:r>
      <w:proofErr w:type="spellEnd"/>
      <w:r>
        <w:rPr>
          <w:color w:val="000000"/>
        </w:rPr>
        <w:t xml:space="preserve"> específicos que pueden quedar obsoletos [3], [9].</w:t>
      </w:r>
    </w:p>
    <w:p w14:paraId="7E0435D3" w14:textId="77777777" w:rsidR="00137FAE" w:rsidRDefault="00137FAE"/>
    <w:p w14:paraId="0291EAA6" w14:textId="77777777" w:rsidR="00137FAE" w:rsidRDefault="00000000">
      <w:pPr>
        <w:spacing w:before="200" w:after="100"/>
        <w:jc w:val="center"/>
      </w:pPr>
      <w:r>
        <w:rPr>
          <w:b/>
          <w:bCs/>
          <w:caps/>
          <w:color w:val="000000"/>
          <w:sz w:val="22"/>
          <w:szCs w:val="22"/>
        </w:rPr>
        <w:t>VIII. Conclusiones</w:t>
      </w:r>
    </w:p>
    <w:p w14:paraId="32E393AF" w14:textId="77777777" w:rsidR="00137FAE" w:rsidRDefault="00000000">
      <w:pPr>
        <w:spacing w:line="276" w:lineRule="auto"/>
        <w:jc w:val="both"/>
      </w:pPr>
      <w:r>
        <w:rPr>
          <w:color w:val="000000"/>
        </w:rPr>
        <w:t xml:space="preserve">El aprendizaje automático ha consolidado un conjunto de métodos que permiten a los sistemas aprender de los datos con resultados prácticos en clasificación, regresión, </w:t>
      </w:r>
      <w:r>
        <w:rPr>
          <w:color w:val="000000"/>
        </w:rPr>
        <w:lastRenderedPageBreak/>
        <w:t>agrupamiento y aprendizaje por refuerzo. Su efectividad depende de la calidad de los datos, la selección adecuada del modelo y una evaluación rigurosa que considere generalización, equidad y contexto de aplicación [3], [9], [13].</w:t>
      </w:r>
    </w:p>
    <w:p w14:paraId="5FA56EF3" w14:textId="77777777" w:rsidR="00137FAE" w:rsidRDefault="00137FAE"/>
    <w:p w14:paraId="689E50F8" w14:textId="77777777" w:rsidR="00137FAE" w:rsidRDefault="00000000">
      <w:pPr>
        <w:spacing w:line="276" w:lineRule="auto"/>
        <w:jc w:val="both"/>
      </w:pPr>
      <w:r>
        <w:rPr>
          <w:color w:val="000000"/>
        </w:rPr>
        <w:t xml:space="preserve">Las redes neuronales profundas han ampliado la capacidad de los sistemas de IA para aprender representaciones complejas en dominios como visión, audio y lenguaje. Las arquitecturas convolucionales, recurrentes y, finalmente, los transformadores representan una progresión en la que cada generación resolvió limitaciones de la anterior, aunque introdujo nuevas. La arquitectura </w:t>
      </w:r>
      <w:proofErr w:type="spellStart"/>
      <w:r>
        <w:rPr>
          <w:color w:val="000000"/>
        </w:rPr>
        <w:t>Transformer</w:t>
      </w:r>
      <w:proofErr w:type="spellEnd"/>
      <w:r>
        <w:rPr>
          <w:color w:val="000000"/>
        </w:rPr>
        <w:t>, en particular, demostró ser suficientemente general para convertirse en el núcleo de los sistemas de IA más avanzados de la actualidad [4], [6], [14].</w:t>
      </w:r>
    </w:p>
    <w:p w14:paraId="1C951B21" w14:textId="77777777" w:rsidR="00137FAE" w:rsidRDefault="00137FAE"/>
    <w:p w14:paraId="1F3E7D15" w14:textId="77777777" w:rsidR="00137FAE" w:rsidRDefault="00000000">
      <w:pPr>
        <w:spacing w:line="276" w:lineRule="auto"/>
        <w:jc w:val="both"/>
      </w:pPr>
      <w:r>
        <w:rPr>
          <w:color w:val="000000"/>
        </w:rPr>
        <w:t xml:space="preserve">El PLN experimentó una transformación profunda con el preentrenamiento masivo y el aprendizaje por transferencia. Los LLM exhiben capacidades emergentes notables, pero también limitaciones críticas como las alucinaciones, los sesgos heredados y la dificultad para razonar de forma confiable. La investigación en alineación, robustez y </w:t>
      </w:r>
      <w:proofErr w:type="spellStart"/>
      <w:r>
        <w:rPr>
          <w:color w:val="000000"/>
        </w:rPr>
        <w:t>explicabilidad</w:t>
      </w:r>
      <w:proofErr w:type="spellEnd"/>
      <w:r>
        <w:rPr>
          <w:color w:val="000000"/>
        </w:rPr>
        <w:t xml:space="preserve"> de estos modelos es una prioridad científica y ética [17], [18], [19].</w:t>
      </w:r>
    </w:p>
    <w:p w14:paraId="3B515C08" w14:textId="77777777" w:rsidR="00137FAE" w:rsidRDefault="00137FAE"/>
    <w:p w14:paraId="3B446ABC" w14:textId="77777777" w:rsidR="00137FAE" w:rsidRDefault="00000000">
      <w:pPr>
        <w:spacing w:line="276" w:lineRule="auto"/>
        <w:jc w:val="both"/>
      </w:pPr>
      <w:r>
        <w:rPr>
          <w:color w:val="000000"/>
        </w:rPr>
        <w:t>Las tendencias actuales —multimodalidad, XAI, aprendizaje federado, eficiencia computacional y agentes autónomos— reflejan que el futuro de la IA dependerá no solo de escalar los modelos, sino de hacerlos más seguros, comprensibles, eficientes y accesibles. En este escenario, la formación rigurosa en fundamentos matemáticos, la capacidad crítica frente a los resultados y el compromiso ético en el diseño de sistemas son competencias indispensables para quienes trabajan o estudian en este campo [13], [20].</w:t>
      </w:r>
    </w:p>
    <w:p w14:paraId="4ABF813E" w14:textId="77777777" w:rsidR="00137FAE" w:rsidRDefault="00137FAE"/>
    <w:p w14:paraId="2FCE0449" w14:textId="77777777" w:rsidR="00137FAE" w:rsidRPr="00B51ACD" w:rsidRDefault="00000000">
      <w:pPr>
        <w:spacing w:before="200" w:after="100"/>
        <w:jc w:val="center"/>
        <w:rPr>
          <w:lang w:val="en-US"/>
        </w:rPr>
      </w:pPr>
      <w:r w:rsidRPr="00B51ACD">
        <w:rPr>
          <w:b/>
          <w:bCs/>
          <w:caps/>
          <w:color w:val="000000"/>
          <w:sz w:val="22"/>
          <w:szCs w:val="22"/>
          <w:lang w:val="en-US"/>
        </w:rPr>
        <w:t>Referencias</w:t>
      </w:r>
    </w:p>
    <w:p w14:paraId="0D87396B" w14:textId="77777777" w:rsidR="00137FAE" w:rsidRDefault="00000000">
      <w:pPr>
        <w:spacing w:line="276" w:lineRule="auto"/>
        <w:jc w:val="both"/>
      </w:pPr>
      <w:r w:rsidRPr="00B51ACD">
        <w:rPr>
          <w:color w:val="000000"/>
          <w:lang w:val="en-US"/>
        </w:rPr>
        <w:t>[1</w:t>
      </w:r>
      <w:proofErr w:type="gramStart"/>
      <w:r w:rsidRPr="00B51ACD">
        <w:rPr>
          <w:color w:val="000000"/>
          <w:lang w:val="en-US"/>
        </w:rPr>
        <w:t>]  S.</w:t>
      </w:r>
      <w:proofErr w:type="gramEnd"/>
      <w:r w:rsidRPr="00B51ACD">
        <w:rPr>
          <w:color w:val="000000"/>
          <w:lang w:val="en-US"/>
        </w:rPr>
        <w:t xml:space="preserve"> J. Russell and P. Norvig, Artificial Intelligence: A Modern Approach, 4th ed. </w:t>
      </w:r>
      <w:proofErr w:type="spellStart"/>
      <w:r>
        <w:rPr>
          <w:color w:val="000000"/>
        </w:rPr>
        <w:t>Hoboken</w:t>
      </w:r>
      <w:proofErr w:type="spellEnd"/>
      <w:r>
        <w:rPr>
          <w:color w:val="000000"/>
        </w:rPr>
        <w:t>, NJ: Pearson, 2020.</w:t>
      </w:r>
    </w:p>
    <w:p w14:paraId="17B269A2" w14:textId="77777777" w:rsidR="00137FAE" w:rsidRPr="00B51ACD" w:rsidRDefault="00000000">
      <w:pPr>
        <w:spacing w:line="276" w:lineRule="auto"/>
        <w:jc w:val="both"/>
        <w:rPr>
          <w:lang w:val="en-US"/>
        </w:rPr>
      </w:pPr>
      <w:r w:rsidRPr="00B51ACD">
        <w:rPr>
          <w:color w:val="000000"/>
          <w:lang w:val="en-US"/>
        </w:rPr>
        <w:t>[2</w:t>
      </w:r>
      <w:proofErr w:type="gramStart"/>
      <w:r w:rsidRPr="00B51ACD">
        <w:rPr>
          <w:color w:val="000000"/>
          <w:lang w:val="en-US"/>
        </w:rPr>
        <w:t>]  Y.</w:t>
      </w:r>
      <w:proofErr w:type="gramEnd"/>
      <w:r w:rsidRPr="00B51ACD">
        <w:rPr>
          <w:color w:val="000000"/>
          <w:lang w:val="en-US"/>
        </w:rPr>
        <w:t xml:space="preserve"> </w:t>
      </w:r>
      <w:proofErr w:type="spellStart"/>
      <w:r w:rsidRPr="00B51ACD">
        <w:rPr>
          <w:color w:val="000000"/>
          <w:lang w:val="en-US"/>
        </w:rPr>
        <w:t>LeCun</w:t>
      </w:r>
      <w:proofErr w:type="spellEnd"/>
      <w:r w:rsidRPr="00B51ACD">
        <w:rPr>
          <w:color w:val="000000"/>
          <w:lang w:val="en-US"/>
        </w:rPr>
        <w:t xml:space="preserve">, Y. </w:t>
      </w:r>
      <w:proofErr w:type="spellStart"/>
      <w:r w:rsidRPr="00B51ACD">
        <w:rPr>
          <w:color w:val="000000"/>
          <w:lang w:val="en-US"/>
        </w:rPr>
        <w:t>Bengio</w:t>
      </w:r>
      <w:proofErr w:type="spellEnd"/>
      <w:r w:rsidRPr="00B51ACD">
        <w:rPr>
          <w:color w:val="000000"/>
          <w:lang w:val="en-US"/>
        </w:rPr>
        <w:t xml:space="preserve">, and G. Hinton, “Deep learning,” Nature, vol. 521, no. 7553, pp. 436–444, May 2015, </w:t>
      </w:r>
      <w:proofErr w:type="spellStart"/>
      <w:r w:rsidRPr="00B51ACD">
        <w:rPr>
          <w:color w:val="000000"/>
          <w:lang w:val="en-US"/>
        </w:rPr>
        <w:t>doi</w:t>
      </w:r>
      <w:proofErr w:type="spellEnd"/>
      <w:r w:rsidRPr="00B51ACD">
        <w:rPr>
          <w:color w:val="000000"/>
          <w:lang w:val="en-US"/>
        </w:rPr>
        <w:t>: 10.1038/nature14539.</w:t>
      </w:r>
    </w:p>
    <w:p w14:paraId="328B2253" w14:textId="77777777" w:rsidR="00137FAE" w:rsidRPr="00B51ACD" w:rsidRDefault="00000000">
      <w:pPr>
        <w:spacing w:line="276" w:lineRule="auto"/>
        <w:jc w:val="both"/>
        <w:rPr>
          <w:lang w:val="en-US"/>
        </w:rPr>
      </w:pPr>
      <w:r w:rsidRPr="00B51ACD">
        <w:rPr>
          <w:color w:val="000000"/>
          <w:lang w:val="en-US"/>
        </w:rPr>
        <w:t>[3</w:t>
      </w:r>
      <w:proofErr w:type="gramStart"/>
      <w:r w:rsidRPr="00B51ACD">
        <w:rPr>
          <w:color w:val="000000"/>
          <w:lang w:val="en-US"/>
        </w:rPr>
        <w:t>]  T.</w:t>
      </w:r>
      <w:proofErr w:type="gramEnd"/>
      <w:r w:rsidRPr="00B51ACD">
        <w:rPr>
          <w:color w:val="000000"/>
          <w:lang w:val="en-US"/>
        </w:rPr>
        <w:t xml:space="preserve"> M. Mitchell, Machine Learning. New York: McGraw-Hill, 1997.</w:t>
      </w:r>
    </w:p>
    <w:p w14:paraId="1EB0A604" w14:textId="77777777" w:rsidR="00137FAE" w:rsidRPr="00B51ACD" w:rsidRDefault="00000000">
      <w:pPr>
        <w:spacing w:line="276" w:lineRule="auto"/>
        <w:jc w:val="both"/>
        <w:rPr>
          <w:lang w:val="en-US"/>
        </w:rPr>
      </w:pPr>
      <w:r w:rsidRPr="00B51ACD">
        <w:rPr>
          <w:color w:val="000000"/>
          <w:lang w:val="en-US"/>
        </w:rPr>
        <w:t>[4</w:t>
      </w:r>
      <w:proofErr w:type="gramStart"/>
      <w:r w:rsidRPr="00B51ACD">
        <w:rPr>
          <w:color w:val="000000"/>
          <w:lang w:val="en-US"/>
        </w:rPr>
        <w:t>]  I.</w:t>
      </w:r>
      <w:proofErr w:type="gramEnd"/>
      <w:r w:rsidRPr="00B51ACD">
        <w:rPr>
          <w:color w:val="000000"/>
          <w:lang w:val="en-US"/>
        </w:rPr>
        <w:t xml:space="preserve"> Goodfellow, Y. </w:t>
      </w:r>
      <w:proofErr w:type="spellStart"/>
      <w:r w:rsidRPr="00B51ACD">
        <w:rPr>
          <w:color w:val="000000"/>
          <w:lang w:val="en-US"/>
        </w:rPr>
        <w:t>Bengio</w:t>
      </w:r>
      <w:proofErr w:type="spellEnd"/>
      <w:r w:rsidRPr="00B51ACD">
        <w:rPr>
          <w:color w:val="000000"/>
          <w:lang w:val="en-US"/>
        </w:rPr>
        <w:t>, and A. Courville, Deep Learning. Cambridge, MA: MIT Press, 2016. [Online]. Available: https://www.deeplearningbook.org</w:t>
      </w:r>
    </w:p>
    <w:p w14:paraId="79DDB573" w14:textId="77777777" w:rsidR="00137FAE" w:rsidRPr="00B51ACD" w:rsidRDefault="00000000">
      <w:pPr>
        <w:spacing w:line="276" w:lineRule="auto"/>
        <w:jc w:val="both"/>
        <w:rPr>
          <w:lang w:val="en-US"/>
        </w:rPr>
      </w:pPr>
      <w:r w:rsidRPr="00B51ACD">
        <w:rPr>
          <w:color w:val="000000"/>
          <w:lang w:val="en-US"/>
        </w:rPr>
        <w:t>[5</w:t>
      </w:r>
      <w:proofErr w:type="gramStart"/>
      <w:r w:rsidRPr="00B51ACD">
        <w:rPr>
          <w:color w:val="000000"/>
          <w:lang w:val="en-US"/>
        </w:rPr>
        <w:t>]  D.</w:t>
      </w:r>
      <w:proofErr w:type="gramEnd"/>
      <w:r w:rsidRPr="00B51ACD">
        <w:rPr>
          <w:color w:val="000000"/>
          <w:lang w:val="en-US"/>
        </w:rPr>
        <w:t xml:space="preserve"> </w:t>
      </w:r>
      <w:proofErr w:type="spellStart"/>
      <w:r w:rsidRPr="00B51ACD">
        <w:rPr>
          <w:color w:val="000000"/>
          <w:lang w:val="en-US"/>
        </w:rPr>
        <w:t>Jurafsky</w:t>
      </w:r>
      <w:proofErr w:type="spellEnd"/>
      <w:r w:rsidRPr="00B51ACD">
        <w:rPr>
          <w:color w:val="000000"/>
          <w:lang w:val="en-US"/>
        </w:rPr>
        <w:t xml:space="preserve"> and J. H. Martin, Speech and Language Processing, 3rd ed. draft. Stanford, CA: Stanford </w:t>
      </w:r>
      <w:r w:rsidRPr="00B51ACD">
        <w:rPr>
          <w:color w:val="000000"/>
          <w:lang w:val="en-US"/>
        </w:rPr>
        <w:t>University, 2023. [Online]. Available: https://web.stanford.edu/~jurafsky/slp3/</w:t>
      </w:r>
    </w:p>
    <w:p w14:paraId="4987005A" w14:textId="77777777" w:rsidR="00137FAE" w:rsidRPr="00B51ACD" w:rsidRDefault="00000000">
      <w:pPr>
        <w:spacing w:line="276" w:lineRule="auto"/>
        <w:jc w:val="both"/>
        <w:rPr>
          <w:lang w:val="en-US"/>
        </w:rPr>
      </w:pPr>
      <w:r w:rsidRPr="00B51ACD">
        <w:rPr>
          <w:color w:val="000000"/>
          <w:lang w:val="en-US"/>
        </w:rPr>
        <w:t>[6</w:t>
      </w:r>
      <w:proofErr w:type="gramStart"/>
      <w:r w:rsidRPr="00B51ACD">
        <w:rPr>
          <w:color w:val="000000"/>
          <w:lang w:val="en-US"/>
        </w:rPr>
        <w:t>]  A.</w:t>
      </w:r>
      <w:proofErr w:type="gramEnd"/>
      <w:r w:rsidRPr="00B51ACD">
        <w:rPr>
          <w:color w:val="000000"/>
          <w:lang w:val="en-US"/>
        </w:rPr>
        <w:t xml:space="preserve"> Vaswani et al., “Attention is all you need,” in Advances in Neural Information Processing Systems (</w:t>
      </w:r>
      <w:proofErr w:type="spellStart"/>
      <w:r w:rsidRPr="00B51ACD">
        <w:rPr>
          <w:color w:val="000000"/>
          <w:lang w:val="en-US"/>
        </w:rPr>
        <w:t>NeurIPS</w:t>
      </w:r>
      <w:proofErr w:type="spellEnd"/>
      <w:r w:rsidRPr="00B51ACD">
        <w:rPr>
          <w:color w:val="000000"/>
          <w:lang w:val="en-US"/>
        </w:rPr>
        <w:t>), vol. 30, 2017, pp. 5998–6008.</w:t>
      </w:r>
    </w:p>
    <w:p w14:paraId="5B255509" w14:textId="77777777" w:rsidR="00137FAE" w:rsidRPr="00B51ACD" w:rsidRDefault="00000000">
      <w:pPr>
        <w:spacing w:line="276" w:lineRule="auto"/>
        <w:jc w:val="both"/>
        <w:rPr>
          <w:lang w:val="en-US"/>
        </w:rPr>
      </w:pPr>
      <w:r w:rsidRPr="00B51ACD">
        <w:rPr>
          <w:color w:val="000000"/>
          <w:lang w:val="en-US"/>
        </w:rPr>
        <w:t>[7</w:t>
      </w:r>
      <w:proofErr w:type="gramStart"/>
      <w:r w:rsidRPr="00B51ACD">
        <w:rPr>
          <w:color w:val="000000"/>
          <w:lang w:val="en-US"/>
        </w:rPr>
        <w:t>]  J.</w:t>
      </w:r>
      <w:proofErr w:type="gramEnd"/>
      <w:r w:rsidRPr="00B51ACD">
        <w:rPr>
          <w:color w:val="000000"/>
          <w:lang w:val="en-US"/>
        </w:rPr>
        <w:t xml:space="preserve"> Webster and R. T. Watson, “Analyzing the past to prepare for the future: Writing a literature review,” MIS Quarterly, vol. 26, no. 2, pp. xiii–xxiii, 2002.</w:t>
      </w:r>
    </w:p>
    <w:p w14:paraId="423C1A07" w14:textId="77777777" w:rsidR="00137FAE" w:rsidRPr="00B51ACD" w:rsidRDefault="00000000">
      <w:pPr>
        <w:spacing w:line="276" w:lineRule="auto"/>
        <w:jc w:val="both"/>
        <w:rPr>
          <w:lang w:val="en-US"/>
        </w:rPr>
      </w:pPr>
      <w:r w:rsidRPr="00B51ACD">
        <w:rPr>
          <w:color w:val="000000"/>
          <w:lang w:val="en-US"/>
        </w:rPr>
        <w:t>[8</w:t>
      </w:r>
      <w:proofErr w:type="gramStart"/>
      <w:r w:rsidRPr="00B51ACD">
        <w:rPr>
          <w:color w:val="000000"/>
          <w:lang w:val="en-US"/>
        </w:rPr>
        <w:t>]  Y.</w:t>
      </w:r>
      <w:proofErr w:type="gramEnd"/>
      <w:r w:rsidRPr="00B51ACD">
        <w:rPr>
          <w:color w:val="000000"/>
          <w:lang w:val="en-US"/>
        </w:rPr>
        <w:t xml:space="preserve"> Levy and T. J. Ellis, “A systems approach to conduct an effective literature review in support of information systems research,” Informing Science: The International Journal of an Emerging </w:t>
      </w:r>
      <w:proofErr w:type="spellStart"/>
      <w:r w:rsidRPr="00B51ACD">
        <w:rPr>
          <w:color w:val="000000"/>
          <w:lang w:val="en-US"/>
        </w:rPr>
        <w:t>Transdiscipline</w:t>
      </w:r>
      <w:proofErr w:type="spellEnd"/>
      <w:r w:rsidRPr="00B51ACD">
        <w:rPr>
          <w:color w:val="000000"/>
          <w:lang w:val="en-US"/>
        </w:rPr>
        <w:t xml:space="preserve">, vol. 9, pp. 181–212, 2006, </w:t>
      </w:r>
      <w:proofErr w:type="spellStart"/>
      <w:r w:rsidRPr="00B51ACD">
        <w:rPr>
          <w:color w:val="000000"/>
          <w:lang w:val="en-US"/>
        </w:rPr>
        <w:t>doi</w:t>
      </w:r>
      <w:proofErr w:type="spellEnd"/>
      <w:r w:rsidRPr="00B51ACD">
        <w:rPr>
          <w:color w:val="000000"/>
          <w:lang w:val="en-US"/>
        </w:rPr>
        <w:t>: 10.28945/479.</w:t>
      </w:r>
    </w:p>
    <w:p w14:paraId="16BF5DA1" w14:textId="77777777" w:rsidR="00137FAE" w:rsidRPr="00B51ACD" w:rsidRDefault="00000000">
      <w:pPr>
        <w:spacing w:line="276" w:lineRule="auto"/>
        <w:jc w:val="both"/>
        <w:rPr>
          <w:lang w:val="en-US"/>
        </w:rPr>
      </w:pPr>
      <w:r w:rsidRPr="00B51ACD">
        <w:rPr>
          <w:color w:val="000000"/>
          <w:lang w:val="en-US"/>
        </w:rPr>
        <w:t>[9</w:t>
      </w:r>
      <w:proofErr w:type="gramStart"/>
      <w:r w:rsidRPr="00B51ACD">
        <w:rPr>
          <w:color w:val="000000"/>
          <w:lang w:val="en-US"/>
        </w:rPr>
        <w:t>]  C.</w:t>
      </w:r>
      <w:proofErr w:type="gramEnd"/>
      <w:r w:rsidRPr="00B51ACD">
        <w:rPr>
          <w:color w:val="000000"/>
          <w:lang w:val="en-US"/>
        </w:rPr>
        <w:t xml:space="preserve"> M. Bishop, Pattern Recognition and Machine Learning. New York: Springer, 2006.</w:t>
      </w:r>
    </w:p>
    <w:p w14:paraId="4677B038" w14:textId="77777777" w:rsidR="00137FAE" w:rsidRDefault="00000000">
      <w:pPr>
        <w:spacing w:line="276" w:lineRule="auto"/>
        <w:jc w:val="both"/>
      </w:pPr>
      <w:r w:rsidRPr="00B51ACD">
        <w:rPr>
          <w:color w:val="000000"/>
          <w:lang w:val="en-US"/>
        </w:rPr>
        <w:t xml:space="preserve">[10] R. S. Sutton and A. G. Barto, Reinforcement Learning: An Introduction, 2nd ed. </w:t>
      </w:r>
      <w:r>
        <w:rPr>
          <w:color w:val="000000"/>
        </w:rPr>
        <w:t xml:space="preserve">Cambridge, MA: MIT </w:t>
      </w:r>
      <w:proofErr w:type="spellStart"/>
      <w:r>
        <w:rPr>
          <w:color w:val="000000"/>
        </w:rPr>
        <w:t>Press</w:t>
      </w:r>
      <w:proofErr w:type="spellEnd"/>
      <w:r>
        <w:rPr>
          <w:color w:val="000000"/>
        </w:rPr>
        <w:t>, 2018.</w:t>
      </w:r>
    </w:p>
    <w:p w14:paraId="78B0402A" w14:textId="77777777" w:rsidR="00137FAE" w:rsidRPr="00B51ACD" w:rsidRDefault="00000000">
      <w:pPr>
        <w:spacing w:line="276" w:lineRule="auto"/>
        <w:jc w:val="both"/>
        <w:rPr>
          <w:lang w:val="en-US"/>
        </w:rPr>
      </w:pPr>
      <w:r w:rsidRPr="00B51ACD">
        <w:rPr>
          <w:color w:val="000000"/>
          <w:lang w:val="en-US"/>
        </w:rPr>
        <w:t xml:space="preserve">[11] V. N. </w:t>
      </w:r>
      <w:proofErr w:type="spellStart"/>
      <w:r w:rsidRPr="00B51ACD">
        <w:rPr>
          <w:color w:val="000000"/>
          <w:lang w:val="en-US"/>
        </w:rPr>
        <w:t>Vapnik</w:t>
      </w:r>
      <w:proofErr w:type="spellEnd"/>
      <w:r w:rsidRPr="00B51ACD">
        <w:rPr>
          <w:color w:val="000000"/>
          <w:lang w:val="en-US"/>
        </w:rPr>
        <w:t>, The Nature of Statistical Learning Theory. New York: Springer, 1995.</w:t>
      </w:r>
    </w:p>
    <w:p w14:paraId="1C9A73B6" w14:textId="77777777" w:rsidR="00137FAE" w:rsidRPr="00B51ACD" w:rsidRDefault="00000000">
      <w:pPr>
        <w:spacing w:line="276" w:lineRule="auto"/>
        <w:jc w:val="both"/>
        <w:rPr>
          <w:lang w:val="en-US"/>
        </w:rPr>
      </w:pPr>
      <w:r w:rsidRPr="00B51ACD">
        <w:rPr>
          <w:color w:val="000000"/>
          <w:lang w:val="en-US"/>
        </w:rPr>
        <w:t xml:space="preserve">[12] T. Chen and C. </w:t>
      </w:r>
      <w:proofErr w:type="spellStart"/>
      <w:r w:rsidRPr="00B51ACD">
        <w:rPr>
          <w:color w:val="000000"/>
          <w:lang w:val="en-US"/>
        </w:rPr>
        <w:t>Guestrin</w:t>
      </w:r>
      <w:proofErr w:type="spellEnd"/>
      <w:r w:rsidRPr="00B51ACD">
        <w:rPr>
          <w:color w:val="000000"/>
          <w:lang w:val="en-US"/>
        </w:rPr>
        <w:t>, “</w:t>
      </w:r>
      <w:proofErr w:type="spellStart"/>
      <w:r w:rsidRPr="00B51ACD">
        <w:rPr>
          <w:color w:val="000000"/>
          <w:lang w:val="en-US"/>
        </w:rPr>
        <w:t>XGBoost</w:t>
      </w:r>
      <w:proofErr w:type="spellEnd"/>
      <w:r w:rsidRPr="00B51ACD">
        <w:rPr>
          <w:color w:val="000000"/>
          <w:lang w:val="en-US"/>
        </w:rPr>
        <w:t xml:space="preserve">: A scalable tree boosting system,” in Proc. 22nd ACM SIGKDD International Conference on Knowledge Discovery and Data Mining, San Francisco, CA, 2016, pp. 785–794, </w:t>
      </w:r>
      <w:proofErr w:type="spellStart"/>
      <w:r w:rsidRPr="00B51ACD">
        <w:rPr>
          <w:color w:val="000000"/>
          <w:lang w:val="en-US"/>
        </w:rPr>
        <w:t>doi</w:t>
      </w:r>
      <w:proofErr w:type="spellEnd"/>
      <w:r w:rsidRPr="00B51ACD">
        <w:rPr>
          <w:color w:val="000000"/>
          <w:lang w:val="en-US"/>
        </w:rPr>
        <w:t>: 10.1145/2939672.2939785.</w:t>
      </w:r>
    </w:p>
    <w:p w14:paraId="6C55C8AF" w14:textId="77777777" w:rsidR="00137FAE" w:rsidRPr="00B51ACD" w:rsidRDefault="00000000">
      <w:pPr>
        <w:spacing w:line="276" w:lineRule="auto"/>
        <w:jc w:val="both"/>
        <w:rPr>
          <w:lang w:val="en-US"/>
        </w:rPr>
      </w:pPr>
      <w:r w:rsidRPr="00B51ACD">
        <w:rPr>
          <w:color w:val="000000"/>
          <w:lang w:val="en-US"/>
        </w:rPr>
        <w:t>[13] S. Barocas, M. Hardt, and A. Narayanan, Fairness and Machine Learning: Limitations and Opportunities. Cambridge, MA: MIT Press, 2023. [Online]. Available: https://fairmlbook.org</w:t>
      </w:r>
    </w:p>
    <w:p w14:paraId="3200CAED" w14:textId="77777777" w:rsidR="00137FAE" w:rsidRPr="00B51ACD" w:rsidRDefault="00000000">
      <w:pPr>
        <w:spacing w:line="276" w:lineRule="auto"/>
        <w:jc w:val="both"/>
        <w:rPr>
          <w:lang w:val="en-US"/>
        </w:rPr>
      </w:pPr>
      <w:r w:rsidRPr="00B51ACD">
        <w:rPr>
          <w:color w:val="000000"/>
          <w:lang w:val="en-US"/>
        </w:rPr>
        <w:t xml:space="preserve">[14] K. He, X. Zhang, S. Ren, and J. Sun, “Deep residual learning for image recognition,” in Proc. IEEE Conference on Computer Vision and Pattern Recognition (CVPR), Las Vegas, NV, 2016, pp. 770–778, </w:t>
      </w:r>
      <w:proofErr w:type="spellStart"/>
      <w:r w:rsidRPr="00B51ACD">
        <w:rPr>
          <w:color w:val="000000"/>
          <w:lang w:val="en-US"/>
        </w:rPr>
        <w:t>doi</w:t>
      </w:r>
      <w:proofErr w:type="spellEnd"/>
      <w:r w:rsidRPr="00B51ACD">
        <w:rPr>
          <w:color w:val="000000"/>
          <w:lang w:val="en-US"/>
        </w:rPr>
        <w:t>: 10.1109/CVPR.2016.90.</w:t>
      </w:r>
    </w:p>
    <w:p w14:paraId="6375A88F" w14:textId="77777777" w:rsidR="00137FAE" w:rsidRPr="00B51ACD" w:rsidRDefault="00000000">
      <w:pPr>
        <w:spacing w:line="276" w:lineRule="auto"/>
        <w:jc w:val="both"/>
        <w:rPr>
          <w:lang w:val="en-US"/>
        </w:rPr>
      </w:pPr>
      <w:r w:rsidRPr="00B51ACD">
        <w:rPr>
          <w:color w:val="000000"/>
          <w:lang w:val="en-US"/>
        </w:rPr>
        <w:t xml:space="preserve">[15] P. </w:t>
      </w:r>
      <w:proofErr w:type="spellStart"/>
      <w:r w:rsidRPr="00B51ACD">
        <w:rPr>
          <w:color w:val="000000"/>
          <w:lang w:val="en-US"/>
        </w:rPr>
        <w:t>Kairouz</w:t>
      </w:r>
      <w:proofErr w:type="spellEnd"/>
      <w:r w:rsidRPr="00B51ACD">
        <w:rPr>
          <w:color w:val="000000"/>
          <w:lang w:val="en-US"/>
        </w:rPr>
        <w:t xml:space="preserve"> et al., “Advances and open problems in federated learning,” Foundations and Trends in Machine Learning, vol. 14, no. 1–2, pp. 1–210, 2021, </w:t>
      </w:r>
      <w:proofErr w:type="spellStart"/>
      <w:r w:rsidRPr="00B51ACD">
        <w:rPr>
          <w:color w:val="000000"/>
          <w:lang w:val="en-US"/>
        </w:rPr>
        <w:t>doi</w:t>
      </w:r>
      <w:proofErr w:type="spellEnd"/>
      <w:r w:rsidRPr="00B51ACD">
        <w:rPr>
          <w:color w:val="000000"/>
          <w:lang w:val="en-US"/>
        </w:rPr>
        <w:t>: 10.1561/2200000083.</w:t>
      </w:r>
    </w:p>
    <w:p w14:paraId="33D05436" w14:textId="77777777" w:rsidR="00137FAE" w:rsidRPr="00B51ACD" w:rsidRDefault="00000000">
      <w:pPr>
        <w:spacing w:line="276" w:lineRule="auto"/>
        <w:jc w:val="both"/>
        <w:rPr>
          <w:lang w:val="en-US"/>
        </w:rPr>
      </w:pPr>
      <w:r w:rsidRPr="00B51ACD">
        <w:rPr>
          <w:color w:val="000000"/>
          <w:lang w:val="en-US"/>
        </w:rPr>
        <w:t xml:space="preserve">[16] T. </w:t>
      </w:r>
      <w:proofErr w:type="spellStart"/>
      <w:r w:rsidRPr="00B51ACD">
        <w:rPr>
          <w:color w:val="000000"/>
          <w:lang w:val="en-US"/>
        </w:rPr>
        <w:t>Mikolov</w:t>
      </w:r>
      <w:proofErr w:type="spellEnd"/>
      <w:r w:rsidRPr="00B51ACD">
        <w:rPr>
          <w:color w:val="000000"/>
          <w:lang w:val="en-US"/>
        </w:rPr>
        <w:t xml:space="preserve">, I. </w:t>
      </w:r>
      <w:proofErr w:type="spellStart"/>
      <w:r w:rsidRPr="00B51ACD">
        <w:rPr>
          <w:color w:val="000000"/>
          <w:lang w:val="en-US"/>
        </w:rPr>
        <w:t>Sutskever</w:t>
      </w:r>
      <w:proofErr w:type="spellEnd"/>
      <w:r w:rsidRPr="00B51ACD">
        <w:rPr>
          <w:color w:val="000000"/>
          <w:lang w:val="en-US"/>
        </w:rPr>
        <w:t>, K. Chen, G. S. Corrado, and J. Dean, “Distributed representations of words and phrases and their compositionality,” in Advances in Neural Information Processing Systems (</w:t>
      </w:r>
      <w:proofErr w:type="spellStart"/>
      <w:r w:rsidRPr="00B51ACD">
        <w:rPr>
          <w:color w:val="000000"/>
          <w:lang w:val="en-US"/>
        </w:rPr>
        <w:t>NeurIPS</w:t>
      </w:r>
      <w:proofErr w:type="spellEnd"/>
      <w:r w:rsidRPr="00B51ACD">
        <w:rPr>
          <w:color w:val="000000"/>
          <w:lang w:val="en-US"/>
        </w:rPr>
        <w:t>), vol. 26, 2013, pp. 3111–3119.</w:t>
      </w:r>
    </w:p>
    <w:p w14:paraId="5A3B626C" w14:textId="77777777" w:rsidR="00137FAE" w:rsidRDefault="00000000">
      <w:pPr>
        <w:spacing w:line="276" w:lineRule="auto"/>
        <w:jc w:val="both"/>
      </w:pPr>
      <w:r w:rsidRPr="00B51ACD">
        <w:rPr>
          <w:color w:val="000000"/>
          <w:lang w:val="en-US"/>
        </w:rPr>
        <w:t xml:space="preserve">[17] J. Devlin, M.-W. Chang, K. Lee, and K. Toutanova, “BERT: Pre-training of deep bidirectional transformers for language understanding,” in Proc. </w:t>
      </w:r>
      <w:r>
        <w:rPr>
          <w:color w:val="000000"/>
        </w:rPr>
        <w:t xml:space="preserve">NAACL-HLT, Minneapolis, MN, 2019, pp. 4171–4186, </w:t>
      </w:r>
      <w:proofErr w:type="spellStart"/>
      <w:r>
        <w:rPr>
          <w:color w:val="000000"/>
        </w:rPr>
        <w:t>doi</w:t>
      </w:r>
      <w:proofErr w:type="spellEnd"/>
      <w:r>
        <w:rPr>
          <w:color w:val="000000"/>
        </w:rPr>
        <w:t>: 10.18653/v1/N19-1423.</w:t>
      </w:r>
    </w:p>
    <w:p w14:paraId="333BBC07" w14:textId="77777777" w:rsidR="00137FAE" w:rsidRPr="00B51ACD" w:rsidRDefault="00000000">
      <w:pPr>
        <w:spacing w:line="276" w:lineRule="auto"/>
        <w:jc w:val="both"/>
        <w:rPr>
          <w:lang w:val="en-US"/>
        </w:rPr>
      </w:pPr>
      <w:r w:rsidRPr="00B51ACD">
        <w:rPr>
          <w:color w:val="000000"/>
          <w:lang w:val="en-US"/>
        </w:rPr>
        <w:t>[18] T. Brown et al., “Language models are few-shot learners,” in Advances in Neural Information Processing Systems (</w:t>
      </w:r>
      <w:proofErr w:type="spellStart"/>
      <w:r w:rsidRPr="00B51ACD">
        <w:rPr>
          <w:color w:val="000000"/>
          <w:lang w:val="en-US"/>
        </w:rPr>
        <w:t>NeurIPS</w:t>
      </w:r>
      <w:proofErr w:type="spellEnd"/>
      <w:r w:rsidRPr="00B51ACD">
        <w:rPr>
          <w:color w:val="000000"/>
          <w:lang w:val="en-US"/>
        </w:rPr>
        <w:t>), vol. 33, 2020, pp. 1877–1901.</w:t>
      </w:r>
    </w:p>
    <w:p w14:paraId="15A91683" w14:textId="77777777" w:rsidR="00137FAE" w:rsidRPr="00B51ACD" w:rsidRDefault="00000000">
      <w:pPr>
        <w:spacing w:line="276" w:lineRule="auto"/>
        <w:jc w:val="both"/>
        <w:rPr>
          <w:lang w:val="en-US"/>
        </w:rPr>
      </w:pPr>
      <w:r w:rsidRPr="00B51ACD">
        <w:rPr>
          <w:color w:val="000000"/>
          <w:lang w:val="en-US"/>
        </w:rPr>
        <w:lastRenderedPageBreak/>
        <w:t>[19] J. Wei et al., “Emergent abilities of large language models,” Transactions on Machine Learning Research, 2022. [Online]. Available: https://openreview.net/forum?id=yzkSU5zdwD</w:t>
      </w:r>
    </w:p>
    <w:p w14:paraId="12D15B63" w14:textId="77777777" w:rsidR="00137FAE" w:rsidRPr="00B51ACD" w:rsidRDefault="00000000">
      <w:pPr>
        <w:spacing w:line="276" w:lineRule="auto"/>
        <w:jc w:val="both"/>
        <w:rPr>
          <w:lang w:val="en-US"/>
        </w:rPr>
      </w:pPr>
      <w:r w:rsidRPr="00B51ACD">
        <w:rPr>
          <w:color w:val="000000"/>
          <w:lang w:val="en-US"/>
        </w:rPr>
        <w:t xml:space="preserve">[20] A. </w:t>
      </w:r>
      <w:proofErr w:type="spellStart"/>
      <w:r w:rsidRPr="00B51ACD">
        <w:rPr>
          <w:color w:val="000000"/>
          <w:lang w:val="en-US"/>
        </w:rPr>
        <w:t>Adadi</w:t>
      </w:r>
      <w:proofErr w:type="spellEnd"/>
      <w:r w:rsidRPr="00B51ACD">
        <w:rPr>
          <w:color w:val="000000"/>
          <w:lang w:val="en-US"/>
        </w:rPr>
        <w:t xml:space="preserve"> and M. Berrada, “Peeking inside the black-box: A survey on explainable artificial intelligence (XAI),” IEEE Access, vol. 6, pp. 52138–52160, 2018, </w:t>
      </w:r>
      <w:proofErr w:type="spellStart"/>
      <w:r w:rsidRPr="00B51ACD">
        <w:rPr>
          <w:color w:val="000000"/>
          <w:lang w:val="en-US"/>
        </w:rPr>
        <w:t>doi</w:t>
      </w:r>
      <w:proofErr w:type="spellEnd"/>
      <w:r w:rsidRPr="00B51ACD">
        <w:rPr>
          <w:color w:val="000000"/>
          <w:lang w:val="en-US"/>
        </w:rPr>
        <w:t>: 10.1109/ACCESS.2018.2870052.</w:t>
      </w:r>
    </w:p>
    <w:sectPr w:rsidR="00137FAE" w:rsidRPr="00B51ACD" w:rsidSect="00B51ACD">
      <w:type w:val="continuous"/>
      <w:pgSz w:w="12240" w:h="15840"/>
      <w:pgMar w:top="1080" w:right="1080" w:bottom="1080" w:left="108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11127"/>
    <w:multiLevelType w:val="hybridMultilevel"/>
    <w:tmpl w:val="6EB0E03C"/>
    <w:lvl w:ilvl="0" w:tplc="F012646C">
      <w:start w:val="1"/>
      <w:numFmt w:val="bullet"/>
      <w:lvlText w:val="●"/>
      <w:lvlJc w:val="left"/>
      <w:pPr>
        <w:ind w:left="720" w:hanging="360"/>
      </w:pPr>
    </w:lvl>
    <w:lvl w:ilvl="1" w:tplc="F22C129C">
      <w:start w:val="1"/>
      <w:numFmt w:val="bullet"/>
      <w:lvlText w:val="○"/>
      <w:lvlJc w:val="left"/>
      <w:pPr>
        <w:ind w:left="1440" w:hanging="360"/>
      </w:pPr>
    </w:lvl>
    <w:lvl w:ilvl="2" w:tplc="441A0FAE">
      <w:start w:val="1"/>
      <w:numFmt w:val="bullet"/>
      <w:lvlText w:val="■"/>
      <w:lvlJc w:val="left"/>
      <w:pPr>
        <w:ind w:left="2160" w:hanging="360"/>
      </w:pPr>
    </w:lvl>
    <w:lvl w:ilvl="3" w:tplc="CD2220BE">
      <w:start w:val="1"/>
      <w:numFmt w:val="bullet"/>
      <w:lvlText w:val="●"/>
      <w:lvlJc w:val="left"/>
      <w:pPr>
        <w:ind w:left="2880" w:hanging="360"/>
      </w:pPr>
    </w:lvl>
    <w:lvl w:ilvl="4" w:tplc="651686F6">
      <w:start w:val="1"/>
      <w:numFmt w:val="bullet"/>
      <w:lvlText w:val="○"/>
      <w:lvlJc w:val="left"/>
      <w:pPr>
        <w:ind w:left="3600" w:hanging="360"/>
      </w:pPr>
    </w:lvl>
    <w:lvl w:ilvl="5" w:tplc="30F6B6DE">
      <w:start w:val="1"/>
      <w:numFmt w:val="bullet"/>
      <w:lvlText w:val="■"/>
      <w:lvlJc w:val="left"/>
      <w:pPr>
        <w:ind w:left="4320" w:hanging="360"/>
      </w:pPr>
    </w:lvl>
    <w:lvl w:ilvl="6" w:tplc="E790202E">
      <w:start w:val="1"/>
      <w:numFmt w:val="bullet"/>
      <w:lvlText w:val="●"/>
      <w:lvlJc w:val="left"/>
      <w:pPr>
        <w:ind w:left="5040" w:hanging="360"/>
      </w:pPr>
    </w:lvl>
    <w:lvl w:ilvl="7" w:tplc="D7380D78">
      <w:start w:val="1"/>
      <w:numFmt w:val="bullet"/>
      <w:lvlText w:val="●"/>
      <w:lvlJc w:val="left"/>
      <w:pPr>
        <w:ind w:left="5760" w:hanging="360"/>
      </w:pPr>
    </w:lvl>
    <w:lvl w:ilvl="8" w:tplc="0A70B2D2">
      <w:start w:val="1"/>
      <w:numFmt w:val="bullet"/>
      <w:lvlText w:val="●"/>
      <w:lvlJc w:val="left"/>
      <w:pPr>
        <w:ind w:left="6480" w:hanging="360"/>
      </w:pPr>
    </w:lvl>
  </w:abstractNum>
  <w:num w:numId="1" w16cid:durableId="84617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FAE"/>
    <w:rsid w:val="00137FAE"/>
    <w:rsid w:val="00B51AC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3C16"/>
  <w15:docId w15:val="{556451AC-0E9C-4D43-BFE6-DEF638989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4305</Words>
  <Characters>23680</Characters>
  <Application>Microsoft Office Word</Application>
  <DocSecurity>0</DocSecurity>
  <Lines>197</Lines>
  <Paragraphs>55</Paragraphs>
  <ScaleCrop>false</ScaleCrop>
  <Company/>
  <LinksUpToDate>false</LinksUpToDate>
  <CharactersWithSpaces>27930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mateo landi</cp:lastModifiedBy>
  <cp:revision>2</cp:revision>
  <dcterms:created xsi:type="dcterms:W3CDTF">2026-06-19T02:43:00Z</dcterms:created>
  <dcterms:modified xsi:type="dcterms:W3CDTF">2026-06-19T02:43:00Z</dcterms:modified>
</cp:coreProperties>
</file>