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C5BB4" w14:textId="77777777" w:rsidR="005917B6" w:rsidRDefault="00000000">
      <w:pPr>
        <w:pStyle w:val="Ttulo"/>
      </w:pPr>
      <w:r>
        <w:rPr>
          <w:b/>
          <w:color w:val="37352F"/>
        </w:rPr>
        <w:t>Review: Respuestas Automáticas Adri</w:t>
      </w:r>
    </w:p>
    <w:p w14:paraId="2F26B20D" w14:textId="77777777" w:rsidR="005917B6" w:rsidRDefault="00000000">
      <w:r>
        <w:rPr>
          <w:color w:val="7D7A75"/>
          <w:sz w:val="26"/>
        </w:rPr>
        <w:t>Semana 2 – 8 de marzo de 2026</w:t>
      </w:r>
    </w:p>
    <w:p w14:paraId="7A897643" w14:textId="12675EC6" w:rsidR="005917B6" w:rsidRDefault="00000000">
      <w:pPr>
        <w:pBdr>
          <w:left w:val="single" w:sz="12" w:space="0" w:color="D27B2D"/>
        </w:pBdr>
        <w:shd w:val="clear" w:color="auto" w:fill="FBE9D4"/>
        <w:spacing w:before="120" w:after="120"/>
        <w:ind w:left="288" w:right="288"/>
      </w:pPr>
      <w:r>
        <w:t xml:space="preserve">Review de las </w:t>
      </w:r>
      <w:r>
        <w:rPr>
          <w:b/>
        </w:rPr>
        <w:t>18 conversaciones marcadas como "Mal"</w:t>
      </w:r>
      <w:r>
        <w:t xml:space="preserve"> durante la semana del 2 al 8 de marzo. Se identifican </w:t>
      </w:r>
      <w:r>
        <w:rPr>
          <w:b/>
        </w:rPr>
        <w:t>8 patrones de fallo</w:t>
      </w:r>
      <w:r>
        <w:t xml:space="preserve">, de los cuales 2 son urgentes por contener información incorrecta entregada al usuario. </w:t>
      </w:r>
    </w:p>
    <w:p w14:paraId="068ADB82" w14:textId="77777777" w:rsidR="005917B6" w:rsidRDefault="005917B6"/>
    <w:p w14:paraId="1813C4C0" w14:textId="77777777" w:rsidR="005917B6" w:rsidRDefault="005917B6">
      <w:pPr>
        <w:pBdr>
          <w:bottom w:val="single" w:sz="4" w:space="0" w:color="D0CFC9"/>
        </w:pBdr>
        <w:spacing w:before="160" w:after="160"/>
      </w:pPr>
    </w:p>
    <w:p w14:paraId="496FA7E8" w14:textId="77777777" w:rsidR="005917B6" w:rsidRDefault="00000000">
      <w:pPr>
        <w:pStyle w:val="Ttulo1"/>
        <w:spacing w:before="360" w:after="120"/>
      </w:pPr>
      <w:r>
        <w:rPr>
          <w:color w:val="37352F"/>
          <w:sz w:val="36"/>
        </w:rPr>
        <w:t>Resumen</w:t>
      </w:r>
    </w:p>
    <w:p w14:paraId="5B8944EC" w14:textId="77777777" w:rsidR="005917B6" w:rsidRDefault="00000000">
      <w:pPr>
        <w:spacing w:before="40" w:after="80"/>
      </w:pPr>
      <w:r>
        <w:rPr>
          <w:b/>
        </w:rPr>
        <w:t xml:space="preserve">18 casos </w:t>
      </w:r>
      <w:r>
        <w:t xml:space="preserve">de respuesta incorrecta esta semana. Cuatro patrones principales: (1) </w:t>
      </w:r>
      <w:r>
        <w:rPr>
          <w:b/>
        </w:rPr>
        <w:t>información incorrecta o desactualizada en prompts</w:t>
      </w:r>
      <w:r>
        <w:t xml:space="preserve"> — guardería, eficiencia energética, donativos, indemnizaciones (6 casos); (2) </w:t>
      </w:r>
      <w:r>
        <w:rPr>
          <w:b/>
        </w:rPr>
        <w:t>respuestas genéricas por falta de variables de contexto</w:t>
      </w:r>
      <w:r>
        <w:t xml:space="preserve"> — CCAA y yennefer (2 casos); (3) </w:t>
      </w:r>
      <w:r>
        <w:rPr>
          <w:b/>
        </w:rPr>
        <w:t>errores de año fiscal</w:t>
      </w:r>
      <w:r>
        <w:t xml:space="preserve"> en las respuestas (3 casos); (4) </w:t>
      </w:r>
      <w:r>
        <w:rPr>
          <w:b/>
        </w:rPr>
        <w:t>fallos de comportamiento del agente</w:t>
      </w:r>
      <w:r>
        <w:t xml:space="preserve"> — alucinaciones, preguntas innecesarias, scope no aclarado (4 casos). Al menos 6 de los 18 son corregibles con cambios directos en el prompt.</w:t>
      </w:r>
    </w:p>
    <w:p w14:paraId="3C26032D" w14:textId="77777777" w:rsidR="005917B6" w:rsidRDefault="005917B6">
      <w:pPr>
        <w:pBdr>
          <w:bottom w:val="single" w:sz="4" w:space="0" w:color="D0CFC9"/>
        </w:pBdr>
        <w:spacing w:before="160" w:after="160"/>
      </w:pPr>
    </w:p>
    <w:p w14:paraId="1954AF57" w14:textId="77777777" w:rsidR="005917B6" w:rsidRDefault="00000000">
      <w:pPr>
        <w:pStyle w:val="Ttulo1"/>
        <w:spacing w:before="360" w:after="120"/>
      </w:pPr>
      <w:r>
        <w:rPr>
          <w:color w:val="37352F"/>
          <w:sz w:val="36"/>
        </w:rPr>
        <w:t>Fallos detectados</w:t>
      </w:r>
    </w:p>
    <w:tbl>
      <w:tblPr>
        <w:tblW w:w="0" w:type="auto"/>
        <w:tblBorders>
          <w:top w:val="single" w:sz="4" w:space="0" w:color="D0CFC9"/>
          <w:left w:val="single" w:sz="4" w:space="0" w:color="D0CFC9"/>
          <w:bottom w:val="single" w:sz="4" w:space="0" w:color="D0CFC9"/>
          <w:right w:val="single" w:sz="4" w:space="0" w:color="D0CFC9"/>
          <w:insideH w:val="single" w:sz="4" w:space="0" w:color="D0CFC9"/>
          <w:insideV w:val="single" w:sz="4" w:space="0" w:color="D0CFC9"/>
        </w:tblBorders>
        <w:tblLook w:val="04A0" w:firstRow="1" w:lastRow="0" w:firstColumn="1" w:lastColumn="0" w:noHBand="0" w:noVBand="1"/>
      </w:tblPr>
      <w:tblGrid>
        <w:gridCol w:w="2268"/>
        <w:gridCol w:w="2268"/>
        <w:gridCol w:w="2268"/>
        <w:gridCol w:w="2268"/>
      </w:tblGrid>
      <w:tr w:rsidR="005917B6" w14:paraId="54D5EA41" w14:textId="77777777">
        <w:tc>
          <w:tcPr>
            <w:tcW w:w="2268" w:type="dxa"/>
            <w:shd w:val="clear" w:color="auto" w:fill="E3F1FB"/>
          </w:tcPr>
          <w:p w14:paraId="60D755D9" w14:textId="77777777" w:rsidR="005917B6" w:rsidRDefault="00000000">
            <w:r>
              <w:rPr>
                <w:b/>
                <w:sz w:val="20"/>
              </w:rPr>
              <w:t>Fallo</w:t>
            </w:r>
          </w:p>
        </w:tc>
        <w:tc>
          <w:tcPr>
            <w:tcW w:w="2268" w:type="dxa"/>
            <w:shd w:val="clear" w:color="auto" w:fill="E3F1FB"/>
          </w:tcPr>
          <w:p w14:paraId="40055D58" w14:textId="77777777" w:rsidR="005917B6" w:rsidRDefault="00000000">
            <w:r>
              <w:rPr>
                <w:b/>
                <w:sz w:val="20"/>
              </w:rPr>
              <w:t>Nº casos</w:t>
            </w:r>
          </w:p>
        </w:tc>
        <w:tc>
          <w:tcPr>
            <w:tcW w:w="2268" w:type="dxa"/>
            <w:shd w:val="clear" w:color="auto" w:fill="E3F1FB"/>
          </w:tcPr>
          <w:p w14:paraId="28DAC7F2" w14:textId="77777777" w:rsidR="005917B6" w:rsidRDefault="00000000">
            <w:r>
              <w:rPr>
                <w:b/>
                <w:sz w:val="20"/>
              </w:rPr>
              <w:t>Prompt afectado</w:t>
            </w:r>
          </w:p>
        </w:tc>
        <w:tc>
          <w:tcPr>
            <w:tcW w:w="2268" w:type="dxa"/>
            <w:shd w:val="clear" w:color="auto" w:fill="E3F1FB"/>
          </w:tcPr>
          <w:p w14:paraId="6C35539F" w14:textId="77777777" w:rsidR="005917B6" w:rsidRDefault="00000000">
            <w:r>
              <w:rPr>
                <w:b/>
                <w:sz w:val="20"/>
              </w:rPr>
              <w:t>Impacto</w:t>
            </w:r>
          </w:p>
        </w:tc>
      </w:tr>
      <w:tr w:rsidR="005917B6" w14:paraId="45934768" w14:textId="77777777">
        <w:tc>
          <w:tcPr>
            <w:tcW w:w="2268" w:type="dxa"/>
            <w:shd w:val="clear" w:color="auto" w:fill="FCE8E7"/>
          </w:tcPr>
          <w:p w14:paraId="2D88A43E" w14:textId="77777777" w:rsidR="005917B6" w:rsidRDefault="00000000">
            <w:r>
              <w:rPr>
                <w:sz w:val="20"/>
              </w:rPr>
              <w:t>Información incorrecta en prompt: guardería (centro autorizado)</w:t>
            </w:r>
          </w:p>
        </w:tc>
        <w:tc>
          <w:tcPr>
            <w:tcW w:w="2268" w:type="dxa"/>
            <w:shd w:val="clear" w:color="auto" w:fill="FCE8E7"/>
          </w:tcPr>
          <w:p w14:paraId="6E11B630" w14:textId="77777777" w:rsidR="005917B6" w:rsidRDefault="00000000">
            <w:r>
              <w:rPr>
                <w:sz w:val="20"/>
              </w:rPr>
              <w:t>2</w:t>
            </w:r>
          </w:p>
        </w:tc>
        <w:tc>
          <w:tcPr>
            <w:tcW w:w="2268" w:type="dxa"/>
            <w:shd w:val="clear" w:color="auto" w:fill="FCE8E7"/>
          </w:tcPr>
          <w:p w14:paraId="38873D35" w14:textId="77777777" w:rsidR="005917B6" w:rsidRDefault="00000000">
            <w:r>
              <w:rPr>
                <w:sz w:val="20"/>
              </w:rPr>
              <w:t>Deducciones</w:t>
            </w:r>
          </w:p>
        </w:tc>
        <w:tc>
          <w:tcPr>
            <w:tcW w:w="2268" w:type="dxa"/>
            <w:shd w:val="clear" w:color="auto" w:fill="FCE8E7"/>
          </w:tcPr>
          <w:p w14:paraId="3743F824" w14:textId="77777777" w:rsidR="005917B6" w:rsidRDefault="00000000">
            <w:r>
              <w:rPr>
                <w:sz w:val="20"/>
              </w:rPr>
              <w:t>Alto — respuesta factualmente errónea</w:t>
            </w:r>
          </w:p>
        </w:tc>
      </w:tr>
      <w:tr w:rsidR="005917B6" w14:paraId="2EA1FDEF" w14:textId="77777777">
        <w:tc>
          <w:tcPr>
            <w:tcW w:w="2268" w:type="dxa"/>
            <w:shd w:val="clear" w:color="auto" w:fill="FCE8E7"/>
          </w:tcPr>
          <w:p w14:paraId="3E2741D0" w14:textId="77777777" w:rsidR="005917B6" w:rsidRDefault="00000000">
            <w:r>
              <w:rPr>
                <w:sz w:val="20"/>
              </w:rPr>
              <w:t>Información desactualizada: eficiencia energética</w:t>
            </w:r>
          </w:p>
        </w:tc>
        <w:tc>
          <w:tcPr>
            <w:tcW w:w="2268" w:type="dxa"/>
            <w:shd w:val="clear" w:color="auto" w:fill="FCE8E7"/>
          </w:tcPr>
          <w:p w14:paraId="0314AB06" w14:textId="77777777" w:rsidR="005917B6" w:rsidRDefault="00000000">
            <w:r>
              <w:rPr>
                <w:sz w:val="20"/>
              </w:rPr>
              <w:t>2</w:t>
            </w:r>
          </w:p>
        </w:tc>
        <w:tc>
          <w:tcPr>
            <w:tcW w:w="2268" w:type="dxa"/>
            <w:shd w:val="clear" w:color="auto" w:fill="FCE8E7"/>
          </w:tcPr>
          <w:p w14:paraId="4AF1AC38" w14:textId="77777777" w:rsidR="005917B6" w:rsidRDefault="00000000">
            <w:r>
              <w:rPr>
                <w:sz w:val="20"/>
              </w:rPr>
              <w:t>Deducciones</w:t>
            </w:r>
          </w:p>
        </w:tc>
        <w:tc>
          <w:tcPr>
            <w:tcW w:w="2268" w:type="dxa"/>
            <w:shd w:val="clear" w:color="auto" w:fill="FCE8E7"/>
          </w:tcPr>
          <w:p w14:paraId="3468AC2D" w14:textId="77777777" w:rsidR="005917B6" w:rsidRDefault="00000000">
            <w:r>
              <w:rPr>
                <w:sz w:val="20"/>
              </w:rPr>
              <w:t>Alto — respuesta incorrecta</w:t>
            </w:r>
          </w:p>
        </w:tc>
      </w:tr>
      <w:tr w:rsidR="005917B6" w14:paraId="7A38463A" w14:textId="77777777">
        <w:tc>
          <w:tcPr>
            <w:tcW w:w="2268" w:type="dxa"/>
            <w:shd w:val="clear" w:color="auto" w:fill="FCE8E7"/>
          </w:tcPr>
          <w:p w14:paraId="17978D86" w14:textId="77777777" w:rsidR="005917B6" w:rsidRDefault="00000000">
            <w:r>
              <w:rPr>
                <w:sz w:val="20"/>
              </w:rPr>
              <w:t>Error de año fiscal en la respuesta</w:t>
            </w:r>
          </w:p>
        </w:tc>
        <w:tc>
          <w:tcPr>
            <w:tcW w:w="2268" w:type="dxa"/>
            <w:shd w:val="clear" w:color="auto" w:fill="FCE8E7"/>
          </w:tcPr>
          <w:p w14:paraId="2C1CFD09" w14:textId="77777777" w:rsidR="005917B6" w:rsidRDefault="00000000">
            <w:r>
              <w:rPr>
                <w:sz w:val="20"/>
              </w:rPr>
              <w:t>3</w:t>
            </w:r>
          </w:p>
        </w:tc>
        <w:tc>
          <w:tcPr>
            <w:tcW w:w="2268" w:type="dxa"/>
            <w:shd w:val="clear" w:color="auto" w:fill="FCE8E7"/>
          </w:tcPr>
          <w:p w14:paraId="6F241450" w14:textId="77777777" w:rsidR="005917B6" w:rsidRDefault="00000000">
            <w:r>
              <w:rPr>
                <w:sz w:val="20"/>
              </w:rPr>
              <w:t>Múltiples</w:t>
            </w:r>
          </w:p>
        </w:tc>
        <w:tc>
          <w:tcPr>
            <w:tcW w:w="2268" w:type="dxa"/>
            <w:shd w:val="clear" w:color="auto" w:fill="FCE8E7"/>
          </w:tcPr>
          <w:p w14:paraId="562C3D4B" w14:textId="77777777" w:rsidR="005917B6" w:rsidRDefault="00000000">
            <w:r>
              <w:rPr>
                <w:sz w:val="20"/>
              </w:rPr>
              <w:t>Alto — genera desconfianza</w:t>
            </w:r>
          </w:p>
        </w:tc>
      </w:tr>
      <w:tr w:rsidR="005917B6" w14:paraId="2834DFB4" w14:textId="77777777">
        <w:tc>
          <w:tcPr>
            <w:tcW w:w="2268" w:type="dxa"/>
            <w:shd w:val="clear" w:color="auto" w:fill="FBE9D4"/>
          </w:tcPr>
          <w:p w14:paraId="5BEB130F" w14:textId="77777777" w:rsidR="005917B6" w:rsidRDefault="00000000">
            <w:r>
              <w:rPr>
                <w:sz w:val="20"/>
              </w:rPr>
              <w:t>Reglas incompletas: mutualidades, dos pagadores, indemnizaciones</w:t>
            </w:r>
          </w:p>
        </w:tc>
        <w:tc>
          <w:tcPr>
            <w:tcW w:w="2268" w:type="dxa"/>
            <w:shd w:val="clear" w:color="auto" w:fill="FBE9D4"/>
          </w:tcPr>
          <w:p w14:paraId="6447072E" w14:textId="77777777" w:rsidR="005917B6" w:rsidRDefault="00000000">
            <w:r>
              <w:rPr>
                <w:sz w:val="20"/>
              </w:rPr>
              <w:t>3</w:t>
            </w:r>
          </w:p>
        </w:tc>
        <w:tc>
          <w:tcPr>
            <w:tcW w:w="2268" w:type="dxa"/>
            <w:shd w:val="clear" w:color="auto" w:fill="FBE9D4"/>
          </w:tcPr>
          <w:p w14:paraId="13EB5CA9" w14:textId="77777777" w:rsidR="005917B6" w:rsidRDefault="00000000">
            <w:r>
              <w:rPr>
                <w:sz w:val="20"/>
              </w:rPr>
              <w:t>Trabajo</w:t>
            </w:r>
          </w:p>
        </w:tc>
        <w:tc>
          <w:tcPr>
            <w:tcW w:w="2268" w:type="dxa"/>
            <w:shd w:val="clear" w:color="auto" w:fill="FBE9D4"/>
          </w:tcPr>
          <w:p w14:paraId="474E76EB" w14:textId="77777777" w:rsidR="005917B6" w:rsidRDefault="00000000">
            <w:r>
              <w:rPr>
                <w:sz w:val="20"/>
              </w:rPr>
              <w:t>Medio — info incompleta</w:t>
            </w:r>
          </w:p>
        </w:tc>
      </w:tr>
      <w:tr w:rsidR="005917B6" w14:paraId="380CF85E" w14:textId="77777777">
        <w:tc>
          <w:tcPr>
            <w:tcW w:w="2268" w:type="dxa"/>
            <w:shd w:val="clear" w:color="auto" w:fill="FBE9D4"/>
          </w:tcPr>
          <w:p w14:paraId="0F76B710" w14:textId="77777777" w:rsidR="005917B6" w:rsidRDefault="00000000">
            <w:r>
              <w:rPr>
                <w:sz w:val="20"/>
              </w:rPr>
              <w:lastRenderedPageBreak/>
              <w:t>Comportamiento: alucinaciones, seguimiento innecesario, scope sin aclarar</w:t>
            </w:r>
          </w:p>
        </w:tc>
        <w:tc>
          <w:tcPr>
            <w:tcW w:w="2268" w:type="dxa"/>
            <w:shd w:val="clear" w:color="auto" w:fill="FBE9D4"/>
          </w:tcPr>
          <w:p w14:paraId="58599CE7" w14:textId="77777777" w:rsidR="005917B6" w:rsidRDefault="00000000">
            <w:r>
              <w:rPr>
                <w:sz w:val="20"/>
              </w:rPr>
              <w:t>4</w:t>
            </w:r>
          </w:p>
        </w:tc>
        <w:tc>
          <w:tcPr>
            <w:tcW w:w="2268" w:type="dxa"/>
            <w:shd w:val="clear" w:color="auto" w:fill="FBE9D4"/>
          </w:tcPr>
          <w:p w14:paraId="00E53DB0" w14:textId="77777777" w:rsidR="005917B6" w:rsidRDefault="00000000">
            <w:r>
              <w:rPr>
                <w:sz w:val="20"/>
              </w:rPr>
              <w:t>System prompt / Experto otros ingresos</w:t>
            </w:r>
          </w:p>
        </w:tc>
        <w:tc>
          <w:tcPr>
            <w:tcW w:w="2268" w:type="dxa"/>
            <w:shd w:val="clear" w:color="auto" w:fill="FBE9D4"/>
          </w:tcPr>
          <w:p w14:paraId="757C2E66" w14:textId="77777777" w:rsidR="005917B6" w:rsidRDefault="00000000">
            <w:r>
              <w:rPr>
                <w:sz w:val="20"/>
              </w:rPr>
              <w:t>Medio-alto</w:t>
            </w:r>
          </w:p>
        </w:tc>
      </w:tr>
      <w:tr w:rsidR="005917B6" w14:paraId="7F15692B" w14:textId="77777777">
        <w:tc>
          <w:tcPr>
            <w:tcW w:w="2268" w:type="dxa"/>
            <w:shd w:val="clear" w:color="auto" w:fill="FBE9D4"/>
          </w:tcPr>
          <w:p w14:paraId="64A0F002" w14:textId="77777777" w:rsidR="005917B6" w:rsidRDefault="00000000">
            <w:r>
              <w:rPr>
                <w:sz w:val="20"/>
              </w:rPr>
              <w:t>Respuesta genérica por falta de variable de contexto (CCAA / yennefer)</w:t>
            </w:r>
          </w:p>
        </w:tc>
        <w:tc>
          <w:tcPr>
            <w:tcW w:w="2268" w:type="dxa"/>
            <w:shd w:val="clear" w:color="auto" w:fill="FBE9D4"/>
          </w:tcPr>
          <w:p w14:paraId="0D246FF8" w14:textId="77777777" w:rsidR="005917B6" w:rsidRDefault="00000000">
            <w:r>
              <w:rPr>
                <w:sz w:val="20"/>
              </w:rPr>
              <w:t>2</w:t>
            </w:r>
          </w:p>
        </w:tc>
        <w:tc>
          <w:tcPr>
            <w:tcW w:w="2268" w:type="dxa"/>
            <w:shd w:val="clear" w:color="auto" w:fill="FBE9D4"/>
          </w:tcPr>
          <w:p w14:paraId="49E83E82" w14:textId="77777777" w:rsidR="005917B6" w:rsidRDefault="00000000">
            <w:r>
              <w:rPr>
                <w:sz w:val="20"/>
              </w:rPr>
              <w:t>Deducciones autonómicas</w:t>
            </w:r>
          </w:p>
        </w:tc>
        <w:tc>
          <w:tcPr>
            <w:tcW w:w="2268" w:type="dxa"/>
            <w:shd w:val="clear" w:color="auto" w:fill="FBE9D4"/>
          </w:tcPr>
          <w:p w14:paraId="6DB2CAA7" w14:textId="77777777" w:rsidR="005917B6" w:rsidRDefault="00000000">
            <w:r>
              <w:rPr>
                <w:sz w:val="20"/>
              </w:rPr>
              <w:t>Medio</w:t>
            </w:r>
          </w:p>
        </w:tc>
      </w:tr>
      <w:tr w:rsidR="005917B6" w14:paraId="3D906C8B" w14:textId="77777777">
        <w:tc>
          <w:tcPr>
            <w:tcW w:w="2268" w:type="dxa"/>
            <w:shd w:val="clear" w:color="auto" w:fill="FCE8E7"/>
          </w:tcPr>
          <w:p w14:paraId="7370843D" w14:textId="77777777" w:rsidR="005917B6" w:rsidRDefault="00000000">
            <w:r>
              <w:rPr>
                <w:sz w:val="20"/>
              </w:rPr>
              <w:t>Donativos desactualizados</w:t>
            </w:r>
          </w:p>
        </w:tc>
        <w:tc>
          <w:tcPr>
            <w:tcW w:w="2268" w:type="dxa"/>
            <w:shd w:val="clear" w:color="auto" w:fill="FCE8E7"/>
          </w:tcPr>
          <w:p w14:paraId="3E8E0E79" w14:textId="77777777" w:rsidR="005917B6" w:rsidRDefault="00000000">
            <w:r>
              <w:rPr>
                <w:sz w:val="20"/>
              </w:rPr>
              <w:t>1</w:t>
            </w:r>
          </w:p>
        </w:tc>
        <w:tc>
          <w:tcPr>
            <w:tcW w:w="2268" w:type="dxa"/>
            <w:shd w:val="clear" w:color="auto" w:fill="FCE8E7"/>
          </w:tcPr>
          <w:p w14:paraId="6ACE0A9A" w14:textId="77777777" w:rsidR="005917B6" w:rsidRDefault="00000000">
            <w:r>
              <w:rPr>
                <w:sz w:val="20"/>
              </w:rPr>
              <w:t>Deducciones</w:t>
            </w:r>
          </w:p>
        </w:tc>
        <w:tc>
          <w:tcPr>
            <w:tcW w:w="2268" w:type="dxa"/>
            <w:shd w:val="clear" w:color="auto" w:fill="FCE8E7"/>
          </w:tcPr>
          <w:p w14:paraId="7D799D31" w14:textId="77777777" w:rsidR="005917B6" w:rsidRDefault="00000000">
            <w:r>
              <w:rPr>
                <w:sz w:val="20"/>
              </w:rPr>
              <w:t>Alto — info incorrecta</w:t>
            </w:r>
          </w:p>
        </w:tc>
      </w:tr>
      <w:tr w:rsidR="005917B6" w14:paraId="271875C4" w14:textId="77777777">
        <w:tc>
          <w:tcPr>
            <w:tcW w:w="2268" w:type="dxa"/>
            <w:shd w:val="clear" w:color="auto" w:fill="FBE9D4"/>
          </w:tcPr>
          <w:p w14:paraId="68A0E131" w14:textId="77777777" w:rsidR="005917B6" w:rsidRDefault="00000000">
            <w:r>
              <w:rPr>
                <w:sz w:val="20"/>
              </w:rPr>
              <w:t>Clasificación multietiqueta deficiente</w:t>
            </w:r>
          </w:p>
        </w:tc>
        <w:tc>
          <w:tcPr>
            <w:tcW w:w="2268" w:type="dxa"/>
            <w:shd w:val="clear" w:color="auto" w:fill="FBE9D4"/>
          </w:tcPr>
          <w:p w14:paraId="7EEC06B0" w14:textId="77777777" w:rsidR="005917B6" w:rsidRDefault="00000000">
            <w:r>
              <w:rPr>
                <w:sz w:val="20"/>
              </w:rPr>
              <w:t>1</w:t>
            </w:r>
          </w:p>
        </w:tc>
        <w:tc>
          <w:tcPr>
            <w:tcW w:w="2268" w:type="dxa"/>
            <w:shd w:val="clear" w:color="auto" w:fill="FBE9D4"/>
          </w:tcPr>
          <w:p w14:paraId="3FC991BD" w14:textId="77777777" w:rsidR="005917B6" w:rsidRDefault="00000000">
            <w:r>
              <w:rPr>
                <w:sz w:val="20"/>
              </w:rPr>
              <w:t>Clasificador</w:t>
            </w:r>
          </w:p>
        </w:tc>
        <w:tc>
          <w:tcPr>
            <w:tcW w:w="2268" w:type="dxa"/>
            <w:shd w:val="clear" w:color="auto" w:fill="FBE9D4"/>
          </w:tcPr>
          <w:p w14:paraId="32E8C69E" w14:textId="77777777" w:rsidR="005917B6" w:rsidRDefault="00000000">
            <w:r>
              <w:rPr>
                <w:sz w:val="20"/>
              </w:rPr>
              <w:t>Medio</w:t>
            </w:r>
          </w:p>
        </w:tc>
      </w:tr>
      <w:tr w:rsidR="005917B6" w14:paraId="2C5B1ED3" w14:textId="77777777">
        <w:tc>
          <w:tcPr>
            <w:tcW w:w="2268" w:type="dxa"/>
            <w:shd w:val="clear" w:color="auto" w:fill="E8F1EC"/>
          </w:tcPr>
          <w:p w14:paraId="706A95ED" w14:textId="77777777" w:rsidR="005917B6" w:rsidRDefault="00000000">
            <w:r>
              <w:rPr>
                <w:sz w:val="20"/>
              </w:rPr>
              <w:t>Deducción gimnasio Andalucía (prompt correcto, sin desplegar)</w:t>
            </w:r>
          </w:p>
        </w:tc>
        <w:tc>
          <w:tcPr>
            <w:tcW w:w="2268" w:type="dxa"/>
            <w:shd w:val="clear" w:color="auto" w:fill="E8F1EC"/>
          </w:tcPr>
          <w:p w14:paraId="44068801" w14:textId="77777777" w:rsidR="005917B6" w:rsidRDefault="00000000">
            <w:r>
              <w:rPr>
                <w:sz w:val="20"/>
              </w:rPr>
              <w:t>1</w:t>
            </w:r>
          </w:p>
        </w:tc>
        <w:tc>
          <w:tcPr>
            <w:tcW w:w="2268" w:type="dxa"/>
            <w:shd w:val="clear" w:color="auto" w:fill="E8F1EC"/>
          </w:tcPr>
          <w:p w14:paraId="499C5F36" w14:textId="77777777" w:rsidR="005917B6" w:rsidRDefault="00000000">
            <w:r>
              <w:rPr>
                <w:sz w:val="20"/>
              </w:rPr>
              <w:t>Infraestructura</w:t>
            </w:r>
          </w:p>
        </w:tc>
        <w:tc>
          <w:tcPr>
            <w:tcW w:w="2268" w:type="dxa"/>
            <w:shd w:val="clear" w:color="auto" w:fill="E8F1EC"/>
          </w:tcPr>
          <w:p w14:paraId="0EFD7416" w14:textId="77777777" w:rsidR="005917B6" w:rsidRDefault="00000000">
            <w:r>
              <w:rPr>
                <w:sz w:val="20"/>
              </w:rPr>
              <w:t>Bajo — no es fallo de prompt</w:t>
            </w:r>
          </w:p>
        </w:tc>
      </w:tr>
    </w:tbl>
    <w:p w14:paraId="3EBA4C49" w14:textId="77777777" w:rsidR="005917B6" w:rsidRDefault="005917B6"/>
    <w:p w14:paraId="0C0D58E0" w14:textId="77777777" w:rsidR="005917B6" w:rsidRDefault="005917B6">
      <w:pPr>
        <w:pBdr>
          <w:bottom w:val="single" w:sz="4" w:space="0" w:color="D0CFC9"/>
        </w:pBdr>
        <w:spacing w:before="160" w:after="160"/>
      </w:pPr>
    </w:p>
    <w:p w14:paraId="7717405F" w14:textId="77777777" w:rsidR="005917B6" w:rsidRDefault="00000000">
      <w:pPr>
        <w:pStyle w:val="Ttulo1"/>
        <w:spacing w:before="360" w:after="120"/>
      </w:pPr>
      <w:r>
        <w:rPr>
          <w:color w:val="37352F"/>
          <w:sz w:val="36"/>
        </w:rPr>
        <w:t>Problemas específicos</w:t>
      </w:r>
    </w:p>
    <w:p w14:paraId="520D62CA" w14:textId="77777777" w:rsidR="005917B6" w:rsidRDefault="00000000">
      <w:pPr>
        <w:pStyle w:val="Ttulo2"/>
        <w:spacing w:before="280" w:after="80"/>
      </w:pPr>
      <w:r>
        <w:rPr>
          <w:color w:val="37352F"/>
        </w:rPr>
        <w:t>1. Información incorrecta sobre guardería (URGENTE)</w:t>
      </w:r>
    </w:p>
    <w:p w14:paraId="6693B6F9" w14:textId="77777777" w:rsidR="005917B6" w:rsidRDefault="00000000">
      <w:pPr>
        <w:spacing w:before="40" w:after="80"/>
      </w:pPr>
      <w:r>
        <w:t>Registros: 9 (06/03), 13 (08/03)</w:t>
      </w:r>
    </w:p>
    <w:p w14:paraId="4BDF5542" w14:textId="77777777" w:rsidR="005917B6" w:rsidRDefault="00000000">
      <w:pPr>
        <w:spacing w:before="40" w:after="80"/>
      </w:pPr>
      <w:r>
        <w:t>La IA indica que la guardería debe ser un "centro autorizado" para aplicar la deducción. Esto es incorrecto: la deducción aplica durante todo el año escolar y no exige autorización del centro. El error tiene origen directo en el prompt. Al repetirse en dos días distintos, confirma que es un fallo sistemático.</w:t>
      </w:r>
    </w:p>
    <w:p w14:paraId="51D6A6E8" w14:textId="77777777" w:rsidR="005917B6" w:rsidRDefault="00000000">
      <w:pPr>
        <w:pStyle w:val="Ttulo2"/>
        <w:spacing w:before="280" w:after="80"/>
      </w:pPr>
      <w:r>
        <w:rPr>
          <w:color w:val="37352F"/>
        </w:rPr>
        <w:t>2. Eficiencia energética: deducciones inexistentes en el prompt</w:t>
      </w:r>
    </w:p>
    <w:p w14:paraId="32CDFBA2" w14:textId="77777777" w:rsidR="005917B6" w:rsidRDefault="00000000">
      <w:pPr>
        <w:spacing w:before="40" w:after="80"/>
      </w:pPr>
      <w:r>
        <w:t>Registros: 1 (04/03), 3 (01/03)</w:t>
      </w:r>
    </w:p>
    <w:p w14:paraId="233B382A" w14:textId="77777777" w:rsidR="005917B6" w:rsidRDefault="00000000">
      <w:pPr>
        <w:spacing w:before="40" w:after="80"/>
      </w:pPr>
      <w:r>
        <w:t>El prompt incluye las dos primeras modalidades de deducción por eficiencia energética (vivienda individual) que ya no están vigentes. Solo debe quedar la tercera modalidad (edificios completos). El evaluador lo confirma explícitamente.</w:t>
      </w:r>
    </w:p>
    <w:p w14:paraId="31E67395" w14:textId="77777777" w:rsidR="005917B6" w:rsidRDefault="00000000">
      <w:pPr>
        <w:pStyle w:val="Ttulo2"/>
        <w:spacing w:before="280" w:after="80"/>
      </w:pPr>
      <w:r>
        <w:rPr>
          <w:color w:val="37352F"/>
        </w:rPr>
        <w:t>3. Error de año fiscal</w:t>
      </w:r>
    </w:p>
    <w:p w14:paraId="70ECEA2D" w14:textId="77777777" w:rsidR="005917B6" w:rsidRDefault="00000000">
      <w:pPr>
        <w:spacing w:before="40" w:after="80"/>
      </w:pPr>
      <w:r>
        <w:t>Registros: 11 (02/03), 17 (02/03), 20 (05/03)</w:t>
      </w:r>
    </w:p>
    <w:p w14:paraId="4BE0B263" w14:textId="232A37DE" w:rsidR="005917B6" w:rsidRDefault="00000000">
      <w:pPr>
        <w:spacing w:before="40" w:after="80"/>
      </w:pPr>
      <w:r>
        <w:lastRenderedPageBreak/>
        <w:t xml:space="preserve">Tres casos donde la IA referencia el año equivocado. En el registro 17 indica que "la declaración ya está presentada" y redirige al usuario a 2025, cuando debería hablar del ejercicio en curso. En el 20, la teoría es correcta pero el </w:t>
      </w:r>
      <w:proofErr w:type="spellStart"/>
      <w:r>
        <w:t>año</w:t>
      </w:r>
      <w:proofErr w:type="spellEnd"/>
      <w:r>
        <w:t xml:space="preserve"> </w:t>
      </w:r>
      <w:proofErr w:type="spellStart"/>
      <w:r>
        <w:t>mencionado</w:t>
      </w:r>
      <w:proofErr w:type="spellEnd"/>
      <w:r>
        <w:t xml:space="preserve"> es 2024.</w:t>
      </w:r>
    </w:p>
    <w:p w14:paraId="06286B57" w14:textId="77777777" w:rsidR="005917B6" w:rsidRDefault="00000000">
      <w:pPr>
        <w:pStyle w:val="Ttulo2"/>
        <w:spacing w:before="280" w:after="80"/>
      </w:pPr>
      <w:r>
        <w:rPr>
          <w:color w:val="37352F"/>
        </w:rPr>
        <w:t>4. Reglas fiscales incompletas o mal explicadas</w:t>
      </w:r>
    </w:p>
    <w:p w14:paraId="57AAA73F" w14:textId="77777777" w:rsidR="005917B6" w:rsidRDefault="00000000">
      <w:pPr>
        <w:spacing w:before="40" w:after="80"/>
      </w:pPr>
      <w:r>
        <w:t>Registros: 6 (02/03), 19 (06/03), 18 (05/03)</w:t>
      </w:r>
    </w:p>
    <w:p w14:paraId="48DEF008" w14:textId="77777777" w:rsidR="005917B6" w:rsidRDefault="00000000">
      <w:pPr>
        <w:pStyle w:val="Listaconvietas"/>
        <w:spacing w:before="20" w:after="20"/>
      </w:pPr>
      <w:r>
        <w:t>Mutualidades (reg. 6): el prompt de trabajo no incluye que las cantidades recibidas de mutualidades pueden estar exentas.</w:t>
      </w:r>
    </w:p>
    <w:p w14:paraId="2BAB3C13" w14:textId="77777777" w:rsidR="005917B6" w:rsidRDefault="00000000">
      <w:pPr>
        <w:pStyle w:val="Listaconvietas"/>
        <w:spacing w:before="20" w:after="20"/>
      </w:pPr>
      <w:r>
        <w:t>Regla de dos pagadores (reg. 19): la explicación actual no es suficientemente clara para el usuario.</w:t>
      </w:r>
    </w:p>
    <w:p w14:paraId="632C5E38" w14:textId="77777777" w:rsidR="005917B6" w:rsidRDefault="00000000">
      <w:pPr>
        <w:pStyle w:val="Listaconvietas"/>
        <w:spacing w:before="20" w:after="20"/>
      </w:pPr>
      <w:r>
        <w:t>Indemnizaciones (reg. 18): la IA no distingue correctamente entre indemnizaciones exentas y no exentas.</w:t>
      </w:r>
    </w:p>
    <w:p w14:paraId="382788D3" w14:textId="77777777" w:rsidR="005917B6" w:rsidRDefault="00000000">
      <w:pPr>
        <w:pStyle w:val="Ttulo2"/>
        <w:spacing w:before="280" w:after="80"/>
      </w:pPr>
      <w:r>
        <w:rPr>
          <w:color w:val="37352F"/>
        </w:rPr>
        <w:t>5. Comportamiento del agente</w:t>
      </w:r>
    </w:p>
    <w:p w14:paraId="5FB8D181" w14:textId="77777777" w:rsidR="005917B6" w:rsidRDefault="00000000">
      <w:pPr>
        <w:spacing w:before="40" w:after="80"/>
      </w:pPr>
      <w:r>
        <w:t>Registros: 8 (04/03), 7 (02/03), 16 (02/03), 10 (04/03)</w:t>
      </w:r>
    </w:p>
    <w:p w14:paraId="504A2D4F" w14:textId="77777777" w:rsidR="005917B6" w:rsidRDefault="00000000">
      <w:pPr>
        <w:pStyle w:val="Listaconvietas"/>
        <w:spacing w:before="20" w:after="20"/>
      </w:pPr>
      <w:r>
        <w:t>Alucinación (reg. 8): la IA mencionó un "reporte de prensa" que no existe en el prompt ni en el sistema.</w:t>
      </w:r>
    </w:p>
    <w:p w14:paraId="48B91BAC" w14:textId="77777777" w:rsidR="005917B6" w:rsidRDefault="00000000">
      <w:pPr>
        <w:pStyle w:val="Listaconvietas"/>
        <w:spacing w:before="20" w:after="20"/>
      </w:pPr>
      <w:r>
        <w:t>Seguimiento innecesario (reg. 7): tras indicar que Taxdown no gestiona un trámite, continúa haciendo preguntas sobre él.</w:t>
      </w:r>
    </w:p>
    <w:p w14:paraId="00676583" w14:textId="77777777" w:rsidR="005917B6" w:rsidRDefault="00000000">
      <w:pPr>
        <w:pStyle w:val="Listaconvietas"/>
        <w:spacing w:before="20" w:after="20"/>
      </w:pPr>
      <w:r>
        <w:t>Scope sin aclarar (reg. 16): cuando el usuario pregunta por un impuesto que no gestionamos, la IA no lo indica al inicio.</w:t>
      </w:r>
    </w:p>
    <w:p w14:paraId="19AE05C5" w14:textId="77777777" w:rsidR="005917B6" w:rsidRDefault="00000000">
      <w:pPr>
        <w:pStyle w:val="Listaconvietas"/>
        <w:spacing w:before="20" w:after="20"/>
      </w:pPr>
      <w:r>
        <w:t>Respuesta parcial (reg. 10): explica cómo tributaría una ayuda pero no aclara que Taxdown no la gestiona.</w:t>
      </w:r>
    </w:p>
    <w:p w14:paraId="44200C5E" w14:textId="77777777" w:rsidR="005917B6" w:rsidRDefault="00000000">
      <w:pPr>
        <w:pStyle w:val="Ttulo2"/>
        <w:spacing w:before="280" w:after="80"/>
      </w:pPr>
      <w:r>
        <w:rPr>
          <w:color w:val="37352F"/>
        </w:rPr>
        <w:t>6. Variable de contexto no disponible</w:t>
      </w:r>
    </w:p>
    <w:p w14:paraId="1C874407" w14:textId="77777777" w:rsidR="005917B6" w:rsidRDefault="00000000">
      <w:pPr>
        <w:spacing w:before="40" w:after="80"/>
      </w:pPr>
      <w:r>
        <w:t>Registros: 2 (04/03), 15 (05/03)</w:t>
      </w:r>
    </w:p>
    <w:p w14:paraId="0C499058" w14:textId="77777777" w:rsidR="005917B6" w:rsidRDefault="00000000">
      <w:pPr>
        <w:spacing w:before="40" w:after="80"/>
      </w:pPr>
      <w:r>
        <w:t>En ambos casos el evaluador confirma que si el sistema tuviera la variable CCAA o yennefer la respuesta habría sido correcta. No es un fallo de conocimiento del modelo sino de arquitectura de contexto.</w:t>
      </w:r>
    </w:p>
    <w:p w14:paraId="7D33449A" w14:textId="77777777" w:rsidR="005917B6" w:rsidRDefault="00000000">
      <w:pPr>
        <w:pStyle w:val="Ttulo2"/>
        <w:spacing w:before="280" w:after="80"/>
      </w:pPr>
      <w:r>
        <w:rPr>
          <w:color w:val="37352F"/>
        </w:rPr>
        <w:t>7. Donativos desactualizados</w:t>
      </w:r>
    </w:p>
    <w:p w14:paraId="32DBB079" w14:textId="77777777" w:rsidR="005917B6" w:rsidRDefault="00000000">
      <w:pPr>
        <w:spacing w:before="40" w:after="80"/>
      </w:pPr>
      <w:r>
        <w:t>Registro: 12 (04/03)</w:t>
      </w:r>
    </w:p>
    <w:p w14:paraId="310DD46B" w14:textId="71EB5DD9" w:rsidR="005917B6" w:rsidRDefault="00000000">
      <w:pPr>
        <w:spacing w:before="40" w:after="80"/>
      </w:pPr>
      <w:r>
        <w:t xml:space="preserve">El </w:t>
      </w:r>
      <w:proofErr w:type="spellStart"/>
      <w:r>
        <w:t>funcionamiento</w:t>
      </w:r>
      <w:proofErr w:type="spellEnd"/>
      <w:r>
        <w:t xml:space="preserve"> de </w:t>
      </w:r>
      <w:proofErr w:type="spellStart"/>
      <w:r>
        <w:t>los</w:t>
      </w:r>
      <w:proofErr w:type="spellEnd"/>
      <w:r>
        <w:t xml:space="preserve"> </w:t>
      </w:r>
      <w:proofErr w:type="spellStart"/>
      <w:r>
        <w:t>donativos</w:t>
      </w:r>
      <w:proofErr w:type="spellEnd"/>
      <w:r w:rsidR="00CE1663">
        <w:t xml:space="preserve"> </w:t>
      </w:r>
      <w:proofErr w:type="spellStart"/>
      <w:r w:rsidR="00CE1663">
        <w:t>en</w:t>
      </w:r>
      <w:proofErr w:type="spellEnd"/>
      <w:r w:rsidR="00CE1663">
        <w:t xml:space="preserve"> </w:t>
      </w:r>
      <w:proofErr w:type="spellStart"/>
      <w:r w:rsidR="00CE1663">
        <w:t>el</w:t>
      </w:r>
      <w:proofErr w:type="spellEnd"/>
      <w:r w:rsidR="00CE1663">
        <w:t xml:space="preserve"> </w:t>
      </w:r>
      <w:proofErr w:type="spellStart"/>
      <w:r w:rsidR="00CE1663">
        <w:t>flujo</w:t>
      </w:r>
      <w:proofErr w:type="spellEnd"/>
      <w:r>
        <w:t xml:space="preserve"> </w:t>
      </w:r>
      <w:r w:rsidR="00CE1663">
        <w:t xml:space="preserve">no </w:t>
      </w:r>
      <w:proofErr w:type="spellStart"/>
      <w:r w:rsidR="00CE1663">
        <w:t>está</w:t>
      </w:r>
      <w:proofErr w:type="spellEnd"/>
      <w:r w:rsidR="00CE1663">
        <w:t xml:space="preserve"> </w:t>
      </w:r>
      <w:proofErr w:type="spellStart"/>
      <w:r w:rsidR="00CE1663">
        <w:t>actualizado</w:t>
      </w:r>
      <w:proofErr w:type="spellEnd"/>
      <w:r w:rsidR="00CE1663">
        <w:t xml:space="preserve"> </w:t>
      </w:r>
      <w:proofErr w:type="spellStart"/>
      <w:r w:rsidR="00CE1663">
        <w:t>en</w:t>
      </w:r>
      <w:proofErr w:type="spellEnd"/>
      <w:r w:rsidR="00CE1663">
        <w:t xml:space="preserve"> </w:t>
      </w:r>
      <w:proofErr w:type="spellStart"/>
      <w:r w:rsidR="00CE1663">
        <w:t>el</w:t>
      </w:r>
      <w:proofErr w:type="spellEnd"/>
      <w:r w:rsidR="00CE1663">
        <w:t xml:space="preserve"> prompt</w:t>
      </w:r>
      <w:r>
        <w:t>. Requiere revisión con el equipo fiscal antes de modificar.</w:t>
      </w:r>
    </w:p>
    <w:p w14:paraId="7A9AEB21" w14:textId="77777777" w:rsidR="005917B6" w:rsidRDefault="00000000">
      <w:pPr>
        <w:pStyle w:val="Ttulo2"/>
        <w:spacing w:before="280" w:after="80"/>
      </w:pPr>
      <w:r>
        <w:rPr>
          <w:color w:val="37352F"/>
        </w:rPr>
        <w:t>8. Deducción gimnasio Andalucía — fallo de despliegue, no de prompt</w:t>
      </w:r>
    </w:p>
    <w:p w14:paraId="243B3E29" w14:textId="77777777" w:rsidR="005917B6" w:rsidRDefault="00000000">
      <w:pPr>
        <w:spacing w:before="40" w:after="80"/>
      </w:pPr>
      <w:r>
        <w:t>Registro: 14 (08/03)</w:t>
      </w:r>
    </w:p>
    <w:p w14:paraId="0FCC7766" w14:textId="77777777" w:rsidR="005917B6" w:rsidRDefault="00000000">
      <w:pPr>
        <w:spacing w:before="40" w:after="80"/>
      </w:pPr>
      <w:r>
        <w:lastRenderedPageBreak/>
        <w:t>La deducción SÍ está en el prompt actualizado, pero ese prompt no está en producción. La IA responde con la versión anterior. Acción: despliegue del prompt, no cambio de contenido.</w:t>
      </w:r>
    </w:p>
    <w:p w14:paraId="320D48FD" w14:textId="77777777" w:rsidR="005917B6" w:rsidRDefault="005917B6">
      <w:pPr>
        <w:pBdr>
          <w:bottom w:val="single" w:sz="4" w:space="0" w:color="D0CFC9"/>
        </w:pBdr>
        <w:spacing w:before="160" w:after="160"/>
      </w:pPr>
    </w:p>
    <w:p w14:paraId="42B5EFF2" w14:textId="77777777" w:rsidR="005917B6" w:rsidRDefault="00000000">
      <w:pPr>
        <w:pStyle w:val="Ttulo1"/>
        <w:spacing w:before="360" w:after="120"/>
      </w:pPr>
      <w:r>
        <w:rPr>
          <w:color w:val="37352F"/>
          <w:sz w:val="36"/>
        </w:rPr>
        <w:t>Cambios recomendados</w:t>
      </w:r>
    </w:p>
    <w:p w14:paraId="58C2EF2E" w14:textId="41BD99D1" w:rsidR="005917B6" w:rsidRDefault="00000000">
      <w:pPr>
        <w:pStyle w:val="Ttulo2"/>
        <w:spacing w:before="280" w:after="80"/>
      </w:pPr>
      <w:r>
        <w:rPr>
          <w:color w:val="37352F"/>
        </w:rPr>
        <w:t xml:space="preserve">Prompt Deducciones — </w:t>
      </w:r>
      <w:proofErr w:type="spellStart"/>
      <w:r>
        <w:rPr>
          <w:color w:val="37352F"/>
        </w:rPr>
        <w:t>Corregir</w:t>
      </w:r>
      <w:proofErr w:type="spellEnd"/>
      <w:r>
        <w:rPr>
          <w:color w:val="37352F"/>
        </w:rPr>
        <w:t xml:space="preserve">: </w:t>
      </w:r>
      <w:proofErr w:type="spellStart"/>
      <w:r>
        <w:rPr>
          <w:color w:val="37352F"/>
        </w:rPr>
        <w:t>guardería</w:t>
      </w:r>
      <w:proofErr w:type="spellEnd"/>
      <w:r>
        <w:rPr>
          <w:color w:val="37352F"/>
        </w:rPr>
        <w:t xml:space="preserve"> (</w:t>
      </w:r>
      <w:r w:rsidR="00CE1663">
        <w:rPr>
          <w:color w:val="37352F"/>
        </w:rPr>
        <w:t>CORREGIDO</w:t>
      </w:r>
      <w:r>
        <w:rPr>
          <w:color w:val="37352F"/>
        </w:rPr>
        <w:t>)</w:t>
      </w:r>
    </w:p>
    <w:p w14:paraId="495E9080" w14:textId="77777777" w:rsidR="005917B6" w:rsidRDefault="00000000">
      <w:pPr>
        <w:spacing w:before="40" w:after="80"/>
      </w:pPr>
      <w:r>
        <w:t>Eliminar cualquier mención al requisito de "centro autorizado". Texto a añadir:</w:t>
      </w:r>
    </w:p>
    <w:p w14:paraId="4BDA61B4" w14:textId="77777777" w:rsidR="005917B6" w:rsidRDefault="00000000">
      <w:pPr>
        <w:pBdr>
          <w:left w:val="single" w:sz="12" w:space="0" w:color="AAAAAA"/>
        </w:pBdr>
        <w:shd w:val="clear" w:color="auto" w:fill="F0F0F0"/>
        <w:spacing w:before="120" w:after="120"/>
        <w:ind w:left="288" w:right="288"/>
      </w:pPr>
      <w:r>
        <w:t>La deducción por guardería aplica durante todo el año escolar. No es necesario que el centro sea un centro autorizado. El requisito es que el menor esté matriculado y que los gastos estén justificados documentalmente.</w:t>
      </w:r>
    </w:p>
    <w:p w14:paraId="13E3231D" w14:textId="77777777" w:rsidR="005917B6" w:rsidRDefault="00000000">
      <w:pPr>
        <w:spacing w:before="40" w:after="80"/>
      </w:pPr>
      <w:r>
        <w:t>Ejemplo de respuesta esperada:</w:t>
      </w:r>
    </w:p>
    <w:p w14:paraId="0BC6D885" w14:textId="77777777" w:rsidR="005917B6" w:rsidRDefault="00000000">
      <w:pPr>
        <w:spacing w:before="40" w:after="80"/>
      </w:pPr>
      <w:r>
        <w:rPr>
          <w:i/>
        </w:rPr>
        <w:t>"La deducción por guardería no exige que el centro esté autorizado. Aplica durante todo el año escolar, siempre que puedas acreditar los gastos con factura o recibo del centro."</w:t>
      </w:r>
    </w:p>
    <w:p w14:paraId="666D16A5" w14:textId="765D6466" w:rsidR="005917B6" w:rsidRDefault="00000000">
      <w:pPr>
        <w:pStyle w:val="Ttulo2"/>
        <w:spacing w:before="280" w:after="80"/>
      </w:pPr>
      <w:r>
        <w:rPr>
          <w:color w:val="37352F"/>
        </w:rPr>
        <w:t xml:space="preserve">Prompt Deducciones — Corregir: </w:t>
      </w:r>
      <w:proofErr w:type="spellStart"/>
      <w:r>
        <w:rPr>
          <w:color w:val="37352F"/>
        </w:rPr>
        <w:t>eficiencia</w:t>
      </w:r>
      <w:proofErr w:type="spellEnd"/>
      <w:r>
        <w:rPr>
          <w:color w:val="37352F"/>
        </w:rPr>
        <w:t xml:space="preserve"> </w:t>
      </w:r>
      <w:proofErr w:type="spellStart"/>
      <w:r>
        <w:rPr>
          <w:color w:val="37352F"/>
        </w:rPr>
        <w:t>energética</w:t>
      </w:r>
      <w:proofErr w:type="spellEnd"/>
      <w:r>
        <w:rPr>
          <w:color w:val="37352F"/>
        </w:rPr>
        <w:t xml:space="preserve"> (</w:t>
      </w:r>
      <w:r w:rsidR="00CE1663">
        <w:rPr>
          <w:color w:val="37352F"/>
        </w:rPr>
        <w:t>CORREGIDO</w:t>
      </w:r>
      <w:r>
        <w:rPr>
          <w:color w:val="37352F"/>
        </w:rPr>
        <w:t>)</w:t>
      </w:r>
    </w:p>
    <w:p w14:paraId="020A97DB" w14:textId="77777777" w:rsidR="005917B6" w:rsidRDefault="00000000">
      <w:pPr>
        <w:spacing w:before="40" w:after="80"/>
      </w:pPr>
      <w:r>
        <w:t>Eliminar las dos primeras modalidades (vivienda individual). Conservar solo la tercera (edificios).</w:t>
      </w:r>
    </w:p>
    <w:p w14:paraId="6B704CDA" w14:textId="77777777" w:rsidR="005917B6" w:rsidRDefault="00000000">
      <w:pPr>
        <w:spacing w:before="40" w:after="80"/>
      </w:pPr>
      <w:r>
        <w:t>Texto a añadir como aclaración:</w:t>
      </w:r>
    </w:p>
    <w:p w14:paraId="4E412C0D" w14:textId="77777777" w:rsidR="005917B6" w:rsidRDefault="00000000">
      <w:pPr>
        <w:pBdr>
          <w:left w:val="single" w:sz="12" w:space="0" w:color="AAAAAA"/>
        </w:pBdr>
        <w:shd w:val="clear" w:color="auto" w:fill="F0F0F0"/>
        <w:spacing w:before="120" w:after="120"/>
        <w:ind w:left="288" w:right="288"/>
      </w:pPr>
      <w:r>
        <w:t>Las deducciones por obras de eficiencia energética en vivienda habitual ya no están vigentes en el ejercicio 2025. Solo aplica la deducción para obras de mejora en edificios completos.</w:t>
      </w:r>
    </w:p>
    <w:p w14:paraId="3543CBDC" w14:textId="77777777" w:rsidR="005917B6" w:rsidRDefault="00000000">
      <w:pPr>
        <w:spacing w:before="40" w:after="80"/>
      </w:pPr>
      <w:r>
        <w:t>Ejemplo de respuesta esperada:</w:t>
      </w:r>
    </w:p>
    <w:p w14:paraId="04F0884C" w14:textId="77777777" w:rsidR="005917B6" w:rsidRDefault="00000000">
      <w:pPr>
        <w:spacing w:before="40" w:after="80"/>
      </w:pPr>
      <w:r>
        <w:rPr>
          <w:i/>
        </w:rPr>
        <w:t>"En cuanto a eficiencia energética, actualmente solo está vigente la deducción para obras de mejora en edificios. Las deducciones por obras en vivienda individual ya no están en vigor."</w:t>
      </w:r>
    </w:p>
    <w:p w14:paraId="1AA98921" w14:textId="77777777" w:rsidR="005917B6" w:rsidRDefault="00000000">
      <w:pPr>
        <w:pStyle w:val="Ttulo2"/>
        <w:spacing w:before="280" w:after="80"/>
      </w:pPr>
      <w:r>
        <w:rPr>
          <w:color w:val="37352F"/>
        </w:rPr>
        <w:t>System prompt — Añadir: año del ejercicio fiscal (URGENTE)</w:t>
      </w:r>
    </w:p>
    <w:p w14:paraId="74FE6F55" w14:textId="6D7C3648" w:rsidR="005917B6" w:rsidRDefault="00000000">
      <w:pPr>
        <w:spacing w:before="40" w:after="80"/>
      </w:pPr>
      <w:r>
        <w:t xml:space="preserve">Añadir al </w:t>
      </w:r>
      <w:proofErr w:type="spellStart"/>
      <w:r>
        <w:t>inicio</w:t>
      </w:r>
      <w:proofErr w:type="spellEnd"/>
      <w:r>
        <w:t xml:space="preserve"> del prompt o </w:t>
      </w:r>
      <w:proofErr w:type="spellStart"/>
      <w:r>
        <w:t>instrucciones</w:t>
      </w:r>
      <w:proofErr w:type="spellEnd"/>
      <w:r>
        <w:t xml:space="preserve"> </w:t>
      </w:r>
      <w:proofErr w:type="spellStart"/>
      <w:r>
        <w:t>generales</w:t>
      </w:r>
      <w:proofErr w:type="spellEnd"/>
      <w:r>
        <w:t>:</w:t>
      </w:r>
    </w:p>
    <w:p w14:paraId="6002007F" w14:textId="77777777" w:rsidR="005917B6" w:rsidRDefault="00000000">
      <w:pPr>
        <w:pBdr>
          <w:left w:val="single" w:sz="12" w:space="0" w:color="AAAAAA"/>
        </w:pBdr>
        <w:shd w:val="clear" w:color="auto" w:fill="F0F0F0"/>
        <w:spacing w:before="120" w:after="120"/>
        <w:ind w:left="288" w:right="288"/>
      </w:pPr>
      <w:r>
        <w:t>El ejercicio fiscal al que se refieren todas las consultas es el ejercicio 2025, que se declara en la campaña de renta de 2026. Cuando el usuario no especifique el año, asumir siempre que pregunta por el ejercicio 2025. No referenciar ejercicios anteriores salvo que el usuario lo indique explícitamente.</w:t>
      </w:r>
    </w:p>
    <w:p w14:paraId="47D9E246" w14:textId="77777777" w:rsidR="005917B6" w:rsidRDefault="00000000">
      <w:pPr>
        <w:spacing w:before="40" w:after="80"/>
      </w:pPr>
      <w:r>
        <w:t>Ejemplo de respuesta esperada:</w:t>
      </w:r>
    </w:p>
    <w:p w14:paraId="0CCA84FA" w14:textId="77777777" w:rsidR="005917B6" w:rsidRDefault="00000000">
      <w:pPr>
        <w:spacing w:before="40" w:after="80"/>
      </w:pPr>
      <w:r>
        <w:rPr>
          <w:i/>
        </w:rPr>
        <w:t>"Para la declaración del ejercicio 2025, que presentas en esta campaña de 2026, el límite es el siguiente..."</w:t>
      </w:r>
    </w:p>
    <w:p w14:paraId="505C33BA" w14:textId="77777777" w:rsidR="005917B6" w:rsidRDefault="00000000">
      <w:pPr>
        <w:pStyle w:val="Ttulo2"/>
        <w:spacing w:before="280" w:after="80"/>
      </w:pPr>
      <w:r>
        <w:rPr>
          <w:color w:val="37352F"/>
        </w:rPr>
        <w:lastRenderedPageBreak/>
        <w:t>Prompt Trabajo — Añadir: mutualidades exentas</w:t>
      </w:r>
    </w:p>
    <w:p w14:paraId="39E4BF47" w14:textId="181D289A" w:rsidR="005917B6" w:rsidRDefault="00000000">
      <w:pPr>
        <w:pStyle w:val="Ttulo2"/>
        <w:spacing w:before="280" w:after="80"/>
      </w:pPr>
      <w:r>
        <w:rPr>
          <w:color w:val="37352F"/>
        </w:rPr>
        <w:t xml:space="preserve">Prompt </w:t>
      </w:r>
      <w:proofErr w:type="spellStart"/>
      <w:r w:rsidR="00CE1663">
        <w:rPr>
          <w:color w:val="37352F"/>
        </w:rPr>
        <w:t>Obligatoriedad</w:t>
      </w:r>
      <w:proofErr w:type="spellEnd"/>
      <w:r>
        <w:rPr>
          <w:color w:val="37352F"/>
        </w:rPr>
        <w:t xml:space="preserve"> — </w:t>
      </w:r>
      <w:proofErr w:type="spellStart"/>
      <w:r>
        <w:rPr>
          <w:color w:val="37352F"/>
        </w:rPr>
        <w:t>Mejorar</w:t>
      </w:r>
      <w:proofErr w:type="spellEnd"/>
      <w:r>
        <w:rPr>
          <w:color w:val="37352F"/>
        </w:rPr>
        <w:t xml:space="preserve">: </w:t>
      </w:r>
      <w:proofErr w:type="spellStart"/>
      <w:r>
        <w:rPr>
          <w:color w:val="37352F"/>
        </w:rPr>
        <w:t>regla</w:t>
      </w:r>
      <w:proofErr w:type="spellEnd"/>
      <w:r>
        <w:rPr>
          <w:color w:val="37352F"/>
        </w:rPr>
        <w:t xml:space="preserve"> de dos pagadores</w:t>
      </w:r>
    </w:p>
    <w:p w14:paraId="178ACD27" w14:textId="3B36B418" w:rsidR="005917B6" w:rsidRDefault="00000000">
      <w:pPr>
        <w:pBdr>
          <w:left w:val="single" w:sz="12" w:space="0" w:color="AAAAAA"/>
        </w:pBdr>
        <w:shd w:val="clear" w:color="auto" w:fill="F0F0F0"/>
        <w:spacing w:before="120" w:after="120"/>
        <w:ind w:left="288" w:right="288"/>
      </w:pPr>
      <w:r>
        <w:t xml:space="preserve">Con dos o más pagadores, el límite para estar obligado a declarar no es 22.000 € </w:t>
      </w:r>
      <w:proofErr w:type="spellStart"/>
      <w:r>
        <w:t>sino</w:t>
      </w:r>
      <w:proofErr w:type="spellEnd"/>
      <w:r>
        <w:t xml:space="preserve"> 15.</w:t>
      </w:r>
      <w:r w:rsidR="000F0543">
        <w:t xml:space="preserve">876 </w:t>
      </w:r>
      <w:r>
        <w:t xml:space="preserve">€, </w:t>
      </w:r>
      <w:proofErr w:type="spellStart"/>
      <w:r>
        <w:t>siempre</w:t>
      </w:r>
      <w:proofErr w:type="spellEnd"/>
      <w:r>
        <w:t xml:space="preserve"> </w:t>
      </w:r>
      <w:proofErr w:type="spellStart"/>
      <w:r>
        <w:t>que</w:t>
      </w:r>
      <w:proofErr w:type="spellEnd"/>
      <w:r>
        <w:t xml:space="preserve"> del segundo pagador se hayan cobrado más de 1.500 € en total durante el año.</w:t>
      </w:r>
    </w:p>
    <w:p w14:paraId="42ED1A26" w14:textId="77777777" w:rsidR="005917B6" w:rsidRDefault="00000000">
      <w:pPr>
        <w:spacing w:before="40" w:after="80"/>
      </w:pPr>
      <w:r>
        <w:t>Ejemplo de respuesta esperada:</w:t>
      </w:r>
    </w:p>
    <w:p w14:paraId="1D10FA80" w14:textId="77777777" w:rsidR="005917B6" w:rsidRDefault="00000000">
      <w:pPr>
        <w:spacing w:before="40" w:after="80"/>
      </w:pPr>
      <w:r>
        <w:rPr>
          <w:i/>
        </w:rPr>
        <w:t>"Si has tenido dos pagadores, el límite para estar obligado a declarar es 15.000 €, no 22.000 €, siempre que del segundo hayas cobrado más de 1.500 € en el año."</w:t>
      </w:r>
    </w:p>
    <w:p w14:paraId="2F66BA0C" w14:textId="77777777" w:rsidR="005917B6" w:rsidRDefault="00000000">
      <w:pPr>
        <w:pStyle w:val="Ttulo2"/>
        <w:spacing w:before="280" w:after="80"/>
      </w:pPr>
      <w:r>
        <w:rPr>
          <w:color w:val="37352F"/>
        </w:rPr>
        <w:t>Prompt Deducciones — Revisar: donativos</w:t>
      </w:r>
    </w:p>
    <w:p w14:paraId="12FC2505" w14:textId="129F03BD" w:rsidR="005917B6" w:rsidRDefault="00000000">
      <w:pPr>
        <w:spacing w:before="40" w:after="80"/>
      </w:pPr>
      <w:proofErr w:type="spellStart"/>
      <w:r>
        <w:t>Actualizar</w:t>
      </w:r>
      <w:proofErr w:type="spellEnd"/>
      <w:r>
        <w:t xml:space="preserve"> </w:t>
      </w:r>
      <w:proofErr w:type="spellStart"/>
      <w:r>
        <w:t>el</w:t>
      </w:r>
      <w:proofErr w:type="spellEnd"/>
      <w:r>
        <w:t xml:space="preserve"> </w:t>
      </w:r>
      <w:proofErr w:type="spellStart"/>
      <w:r>
        <w:t>funcionamiento</w:t>
      </w:r>
      <w:proofErr w:type="spellEnd"/>
      <w:r w:rsidR="00CE1663">
        <w:t xml:space="preserve"> </w:t>
      </w:r>
      <w:proofErr w:type="spellStart"/>
      <w:r w:rsidR="00CE1663">
        <w:t>en</w:t>
      </w:r>
      <w:proofErr w:type="spellEnd"/>
      <w:r w:rsidR="00CE1663">
        <w:t xml:space="preserve"> </w:t>
      </w:r>
      <w:proofErr w:type="spellStart"/>
      <w:r w:rsidR="00CE1663">
        <w:t>el</w:t>
      </w:r>
      <w:proofErr w:type="spellEnd"/>
      <w:r w:rsidR="00CE1663">
        <w:t xml:space="preserve"> </w:t>
      </w:r>
      <w:proofErr w:type="spellStart"/>
      <w:r w:rsidR="00CE1663">
        <w:t>flujo</w:t>
      </w:r>
      <w:proofErr w:type="spellEnd"/>
      <w:r>
        <w:t xml:space="preserve"> de </w:t>
      </w:r>
      <w:proofErr w:type="spellStart"/>
      <w:r>
        <w:t>los</w:t>
      </w:r>
      <w:proofErr w:type="spellEnd"/>
      <w:r>
        <w:t xml:space="preserve"> </w:t>
      </w:r>
      <w:proofErr w:type="spellStart"/>
      <w:r>
        <w:t>donativos</w:t>
      </w:r>
      <w:proofErr w:type="spellEnd"/>
      <w:r w:rsidR="00CE1663">
        <w:t>.</w:t>
      </w:r>
    </w:p>
    <w:p w14:paraId="6E24EF4E" w14:textId="77777777" w:rsidR="005917B6" w:rsidRDefault="00000000">
      <w:pPr>
        <w:pStyle w:val="Ttulo2"/>
        <w:spacing w:before="280" w:after="80"/>
      </w:pPr>
      <w:r>
        <w:rPr>
          <w:color w:val="37352F"/>
        </w:rPr>
        <w:t>Prompt Trabajo — Revisar: indemnizaciones exentas</w:t>
      </w:r>
    </w:p>
    <w:p w14:paraId="19FD6FE9" w14:textId="5052605F" w:rsidR="005917B6" w:rsidRDefault="00000000">
      <w:pPr>
        <w:spacing w:before="40" w:after="80"/>
      </w:pPr>
      <w:r>
        <w:t xml:space="preserve">Añadir un listado claro de qué indemnizaciones están exentas y cuáles no, con sus </w:t>
      </w:r>
      <w:proofErr w:type="spellStart"/>
      <w:r>
        <w:t>condiciones</w:t>
      </w:r>
      <w:proofErr w:type="spellEnd"/>
      <w:r>
        <w:t>.</w:t>
      </w:r>
    </w:p>
    <w:p w14:paraId="2ABAF8C4" w14:textId="13A6BF5A" w:rsidR="005917B6" w:rsidRDefault="00CE1663">
      <w:pPr>
        <w:pStyle w:val="Ttulo2"/>
        <w:spacing w:before="280" w:after="80"/>
      </w:pPr>
      <w:r>
        <w:rPr>
          <w:color w:val="37352F"/>
        </w:rPr>
        <w:t>P</w:t>
      </w:r>
      <w:r w:rsidR="00000000">
        <w:rPr>
          <w:color w:val="37352F"/>
        </w:rPr>
        <w:t xml:space="preserve">rompt — </w:t>
      </w:r>
      <w:proofErr w:type="spellStart"/>
      <w:r w:rsidR="00000000">
        <w:rPr>
          <w:color w:val="37352F"/>
        </w:rPr>
        <w:t>Añadir</w:t>
      </w:r>
      <w:proofErr w:type="spellEnd"/>
      <w:r w:rsidR="00000000">
        <w:rPr>
          <w:color w:val="37352F"/>
        </w:rPr>
        <w:t xml:space="preserve">: </w:t>
      </w:r>
      <w:proofErr w:type="spellStart"/>
      <w:r w:rsidR="00000000">
        <w:rPr>
          <w:color w:val="37352F"/>
        </w:rPr>
        <w:t>comportamiento</w:t>
      </w:r>
      <w:proofErr w:type="spellEnd"/>
      <w:r w:rsidR="00000000">
        <w:rPr>
          <w:color w:val="37352F"/>
        </w:rPr>
        <w:t xml:space="preserve"> en trámites no gestionados</w:t>
      </w:r>
    </w:p>
    <w:p w14:paraId="61E636BE" w14:textId="77777777" w:rsidR="005917B6" w:rsidRDefault="00000000">
      <w:pPr>
        <w:pBdr>
          <w:left w:val="single" w:sz="12" w:space="0" w:color="AAAAAA"/>
        </w:pBdr>
        <w:shd w:val="clear" w:color="auto" w:fill="F0F0F0"/>
        <w:spacing w:before="120" w:after="120"/>
        <w:ind w:left="288" w:right="288"/>
      </w:pPr>
      <w:r>
        <w:t>Cuando el usuario pregunte por un trámite o impuesto que Taxdown no gestiona, indicarlo en el primer mensaje de forma clara. No hacer preguntas de seguimiento sobre ese trámite una vez comunicado. Cerrar esa línea y ofrecer ayuda en lo que sí se gestiona.</w:t>
      </w:r>
    </w:p>
    <w:p w14:paraId="57CEF20F" w14:textId="77777777" w:rsidR="005917B6" w:rsidRDefault="00000000">
      <w:pPr>
        <w:spacing w:before="40" w:after="80"/>
      </w:pPr>
      <w:r>
        <w:t>Ejemplo de respuesta esperada:</w:t>
      </w:r>
    </w:p>
    <w:p w14:paraId="39291DE3" w14:textId="77777777" w:rsidR="005917B6" w:rsidRDefault="00000000">
      <w:pPr>
        <w:spacing w:before="40" w:after="80"/>
      </w:pPr>
      <w:r>
        <w:rPr>
          <w:i/>
        </w:rPr>
        <w:t>"Ese trámite no lo gestionamos desde Taxdown. Si tienes dudas sobre tu declaración de la renta, estaré encantado de ayudarte."</w:t>
      </w:r>
    </w:p>
    <w:p w14:paraId="796C71A4" w14:textId="77777777" w:rsidR="005917B6" w:rsidRDefault="00000000">
      <w:pPr>
        <w:pStyle w:val="Ttulo2"/>
        <w:spacing w:before="280" w:after="80"/>
      </w:pPr>
      <w:r>
        <w:rPr>
          <w:color w:val="37352F"/>
        </w:rPr>
        <w:t>Infraestructura — Desplegar: prompt con deducción gimnasio Andalucía</w:t>
      </w:r>
    </w:p>
    <w:p w14:paraId="50509B29" w14:textId="77777777" w:rsidR="005917B6" w:rsidRDefault="00000000">
      <w:pPr>
        <w:spacing w:before="40" w:after="80"/>
      </w:pPr>
      <w:r>
        <w:t>No requiere cambio de contenido. El prompt actualizado ya incluye la deducción. Acción: despliegue en producción.</w:t>
      </w:r>
    </w:p>
    <w:p w14:paraId="3F5D5407" w14:textId="77777777" w:rsidR="005917B6" w:rsidRDefault="005917B6">
      <w:pPr>
        <w:pBdr>
          <w:bottom w:val="single" w:sz="4" w:space="0" w:color="D0CFC9"/>
        </w:pBdr>
        <w:spacing w:before="160" w:after="160"/>
      </w:pPr>
    </w:p>
    <w:sectPr w:rsidR="005917B6"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69049346">
    <w:abstractNumId w:val="8"/>
  </w:num>
  <w:num w:numId="2" w16cid:durableId="2022050801">
    <w:abstractNumId w:val="6"/>
  </w:num>
  <w:num w:numId="3" w16cid:durableId="477261912">
    <w:abstractNumId w:val="5"/>
  </w:num>
  <w:num w:numId="4" w16cid:durableId="2094475207">
    <w:abstractNumId w:val="4"/>
  </w:num>
  <w:num w:numId="5" w16cid:durableId="2058770786">
    <w:abstractNumId w:val="7"/>
  </w:num>
  <w:num w:numId="6" w16cid:durableId="1367635889">
    <w:abstractNumId w:val="3"/>
  </w:num>
  <w:num w:numId="7" w16cid:durableId="2072732068">
    <w:abstractNumId w:val="2"/>
  </w:num>
  <w:num w:numId="8" w16cid:durableId="1771701422">
    <w:abstractNumId w:val="1"/>
  </w:num>
  <w:num w:numId="9" w16cid:durableId="9163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543"/>
    <w:rsid w:val="0015074B"/>
    <w:rsid w:val="0029639D"/>
    <w:rsid w:val="00326F90"/>
    <w:rsid w:val="005917B6"/>
    <w:rsid w:val="00AA1D8D"/>
    <w:rsid w:val="00B47730"/>
    <w:rsid w:val="00C82FCA"/>
    <w:rsid w:val="00CB0664"/>
    <w:rsid w:val="00CE16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27E7"/>
  <w14:defaultImageDpi w14:val="300"/>
  <w15:docId w15:val="{52CB471A-5F94-C04C-84FE-11BF934E3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1141</Words>
  <Characters>6484</Characters>
  <Application>Microsoft Office Word</Application>
  <DocSecurity>0</DocSecurity>
  <Lines>202</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Pedro Durillo</cp:lastModifiedBy>
  <cp:revision>3</cp:revision>
  <dcterms:created xsi:type="dcterms:W3CDTF">2013-12-23T23:15:00Z</dcterms:created>
  <dcterms:modified xsi:type="dcterms:W3CDTF">2026-03-10T08:35:00Z</dcterms:modified>
  <cp:category/>
</cp:coreProperties>
</file>