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b2923dd2fc8450ef0d0e646340f387938df3b2"/>
    <w:p>
      <w:pPr>
        <w:pStyle w:val="Heading1"/>
      </w:pPr>
      <w:r>
        <w:t xml:space="preserve">Ficha técnica: Debilidades del Votómetro por código</w:t>
      </w:r>
    </w:p>
    <w:p>
      <w:pPr>
        <w:pStyle w:val="BlockText"/>
      </w:pPr>
      <w:r>
        <w:t xml:space="preserve">Complemento técnico del Q&amp;A crítico. Para usar con el equipo de desarrollo.</w:t>
      </w:r>
    </w:p>
    <w:bookmarkStart w:id="20" w:name="Xaeedb3eacf43dab7edd990acec7af7f1cf1f2bc"/>
    <w:p>
      <w:pPr>
        <w:pStyle w:val="Heading2"/>
      </w:pPr>
      <w:r>
        <w:t xml:space="preserve">Inventario de hardcoding con números de línea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Elemento hardcodeado</w:t>
            </w:r>
          </w:p>
        </w:tc>
        <w:tc>
          <w:p>
            <w:pPr>
              <w:pStyle w:val="Compact"/>
              <w:jc w:val="left"/>
            </w:pPr>
            <w:r>
              <w:t xml:space="preserve">Ubicación (aprox.)</w:t>
            </w:r>
          </w:p>
        </w:tc>
        <w:tc>
          <w:p>
            <w:pPr>
              <w:pStyle w:val="Compact"/>
              <w:jc w:val="left"/>
            </w:pPr>
            <w:r>
              <w:t xml:space="preserve">Riesgo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ballM = 49 + randn() * 4</w:t>
            </w:r>
          </w:p>
        </w:tc>
        <w:tc>
          <w:p>
            <w:pPr>
              <w:pStyle w:val="Compact"/>
              <w:jc w:val="left"/>
            </w:pPr>
            <w:r>
              <w:t xml:space="preserve">Líneas 1309-1312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CRÍTICO</w:t>
            </w:r>
            <w:r>
              <w:t xml:space="preserve"> </w:t>
            </w:r>
            <w:r>
              <w:t xml:space="preserve">— valor arbitrario para ballotage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ballK = 35 + randn() * 4</w:t>
            </w:r>
          </w:p>
        </w:tc>
        <w:tc>
          <w:p>
            <w:pPr>
              <w:pStyle w:val="Compact"/>
              <w:jc w:val="left"/>
            </w:pPr>
            <w:r>
              <w:t xml:space="preserve">Líneas 1331-1332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CRÍTICO</w:t>
            </w:r>
            <w:r>
              <w:t xml:space="preserve"> </w:t>
            </w:r>
            <w:r>
              <w:t xml:space="preserve">— idem Kicillof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FECHA_REF = "01-03-2026"</w:t>
            </w:r>
          </w:p>
        </w:tc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Alto — requiere actualización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96 registros de encuestas</w:t>
            </w:r>
          </w:p>
        </w:tc>
        <w:tc>
          <w:p>
            <w:pPr>
              <w:pStyle w:val="Compact"/>
              <w:jc w:val="left"/>
            </w:pPr>
            <w:r>
              <w:t xml:space="preserve">JSON inline</w:t>
            </w:r>
          </w:p>
        </w:tc>
        <w:tc>
          <w:p>
            <w:pPr>
              <w:pStyle w:val="Compact"/>
              <w:jc w:val="left"/>
            </w:pPr>
            <w:r>
              <w:t xml:space="preserve">Alto — sin pipeline de actualización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 líderes con imágenes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 datos distritales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 puntos serie ICG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Texto footer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t xml:space="preserve">Bajo</w:t>
            </w:r>
          </w:p>
        </w:tc>
      </w:tr>
    </w:tbl>
    <w:bookmarkEnd w:id="20"/>
    <w:bookmarkStart w:id="21" w:name="X5ee912ab957e1c2a09ce69bb345e70d8fb27553"/>
    <w:p>
      <w:pPr>
        <w:pStyle w:val="Heading2"/>
      </w:pPr>
      <w:r>
        <w:t xml:space="preserve">Parámetros del Monte Carlo que necesitan revisión</w:t>
      </w:r>
    </w:p>
    <w:p>
      <w:pPr>
        <w:pStyle w:val="SourceCode"/>
      </w:pPr>
      <w:r>
        <w:rPr>
          <w:rStyle w:val="CommentTok"/>
        </w:rPr>
        <w:t xml:space="preserve">// ACTUAL (problemático)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sigma=3% — subestima el error histórico argentino x3-4</w:t>
      </w:r>
      <w:r>
        <w:br/>
      </w:r>
      <w:r>
        <w:br/>
      </w:r>
      <w:r>
        <w:rPr>
          <w:rStyle w:val="CommentTok"/>
        </w:rPr>
        <w:t xml:space="preserve">// RECOMENDADO basado en literatura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sigma=6.5% — promedio entre sigma=5% (The Economist) y sigma=8% (error PASO 2023)</w:t>
      </w:r>
    </w:p>
    <w:bookmarkEnd w:id="21"/>
    <w:bookmarkStart w:id="22" w:name="X0f9e55757ae93a8970ac030531172bf35be350e"/>
    <w:p>
      <w:pPr>
        <w:pStyle w:val="Heading2"/>
      </w:pPr>
      <w:r>
        <w:t xml:space="preserve">Función de ponderación: análisis del rango</w:t>
      </w:r>
    </w:p>
    <w:p>
      <w:pPr>
        <w:pStyle w:val="FirstParagraph"/>
      </w:pPr>
      <w:r>
        <w:t xml:space="preserve">Los pesos totales (sin decaimiento) van de</w:t>
      </w:r>
      <w:r>
        <w:t xml:space="preserve"> </w:t>
      </w:r>
      <w:r>
        <w:rPr>
          <w:bCs/>
          <w:b/>
        </w:rPr>
        <w:t xml:space="preserve">0.460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1.265</w:t>
      </w:r>
      <w:r>
        <w:t xml:space="preserve"> </w:t>
      </w:r>
      <w:r>
        <w:t xml:space="preserve">— diferencia de 2.7x entre consultoras.</w:t>
      </w:r>
    </w:p>
    <w:p>
      <w:pPr>
        <w:pStyle w:val="BodyText"/>
      </w:pPr>
      <w:r>
        <w:t xml:space="preserve">Esto es razonable como rango, pero el mecanismo de asignación de pesos es opaco. FiveThirtyEight publica su metodología de ratings públicamente. CIGOB debería documentar los criterios.</w:t>
      </w:r>
    </w:p>
    <w:bookmarkEnd w:id="22"/>
    <w:bookmarkStart w:id="23" w:name="la-circular-del-icg"/>
    <w:p>
      <w:pPr>
        <w:pStyle w:val="Heading2"/>
      </w:pPr>
      <w:r>
        <w:t xml:space="preserve">La circular del ICG</w:t>
      </w:r>
    </w:p>
    <w:p>
      <w:pPr>
        <w:pStyle w:val="FirstParagraph"/>
      </w:pPr>
      <w:r>
        <w:t xml:space="preserve">El modelo calcula R² entre ICG (imagen presidencial) e intención de voto. Pero:</w:t>
      </w:r>
      <w:r>
        <w:t xml:space="preserve"> </w:t>
      </w:r>
      <w:r>
        <w:t xml:space="preserve">1. 55% de los datos de intención son</w:t>
      </w:r>
      <w:r>
        <w:t xml:space="preserve"> </w:t>
      </w:r>
      <w:r>
        <w:rPr>
          <w:bCs/>
          <w:b/>
        </w:rPr>
        <w:t xml:space="preserve">imputados desde el ICG</w:t>
      </w:r>
      <w:r>
        <w:t xml:space="preserve"> </w:t>
      </w:r>
      <w:r>
        <w:t xml:space="preserve">con un modelo lineal</w:t>
      </w:r>
      <w:r>
        <w:t xml:space="preserve"> </w:t>
      </w:r>
      <w:r>
        <w:t xml:space="preserve">2. Luego ese R² se usa para</w:t>
      </w:r>
      <w:r>
        <w:t xml:space="preserve"> </w:t>
      </w:r>
      <w:r>
        <w:rPr>
          <w:bCs/>
          <w:b/>
        </w:rPr>
        <w:t xml:space="preserve">validar</w:t>
      </w:r>
      <w:r>
        <w:t xml:space="preserve"> </w:t>
      </w:r>
      <w:r>
        <w:t xml:space="preserve">la correlación ICG→intención</w:t>
      </w:r>
    </w:p>
    <w:p>
      <w:pPr>
        <w:pStyle w:val="BodyText"/>
      </w:pPr>
      <w:r>
        <w:t xml:space="preserve">Esto es circularidad lógica. La R² del gráfico de correlación está inflada porque los datos de validación son, en parte, los mismos datos de entrenamiento.</w:t>
      </w:r>
    </w:p>
    <w:p>
      <w:pPr>
        <w:pStyle w:val="BodyText"/>
      </w:pPr>
      <w:r>
        <w:rPr>
          <w:bCs/>
          <w:b/>
        </w:rPr>
        <w:t xml:space="preserve">Diagnóstico:</w:t>
      </w:r>
      <w:r>
        <w:t xml:space="preserve"> </w:t>
      </w:r>
      <w:r>
        <w:t xml:space="preserve">Solo los 43 registros de fuente primaria (calidad A+B) deberían usarse para calcular la R² del ICG.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2026-03-14T16:58:04Z</dcterms:created>
  <dcterms:modified xsi:type="dcterms:W3CDTF">2026-03-14T16:58:04Z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