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inturón-macro"/>
    <w:p>
      <w:pPr>
        <w:pStyle w:val="Heading1"/>
      </w:pPr>
      <w:r>
        <w:t xml:space="preserve">Cinturón Macro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scripts/macro.py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output/cache/macro.json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tecnocrático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conceptual: Diego Dequino,</w:t>
      </w:r>
      <w:r>
        <w:t xml:space="preserve"> </w:t>
      </w:r>
      <w:r>
        <w:rPr>
          <w:iCs/>
          <w:i/>
        </w:rPr>
        <w:t xml:space="preserve">Monitor de Sustentabilidad Macroeconómica</w:t>
      </w:r>
      <w:r>
        <w:t xml:space="preserve"> </w:t>
      </w:r>
      <w:r>
        <w:t xml:space="preserve">(mayo 2026). Organiza los indicadores en dos grupos: agregados macroeconómicos y palancas de política económica.</w:t>
      </w:r>
    </w:p>
    <w:p>
      <w:pPr>
        <w:pStyle w:val="BodyText"/>
      </w:pPr>
      <w:r>
        <w:t xml:space="preserve">Cada indicador produce un score 0–10 donde mayor implica mayor tensión macro. El score del cinturón es el promedio de los indicadores disponibles, ignorando ausencias.</w:t>
      </w:r>
    </w:p>
    <w:p>
      <w:pPr>
        <w:pStyle w:val="BodyText"/>
      </w:pPr>
      <w:r>
        <w:t xml:space="preserve">Umbrales: 0–3 estable, 4–6 en tensión, 7–10 tensionado.</w:t>
      </w:r>
    </w:p>
    <w:bookmarkEnd w:id="20"/>
    <w:bookmarkStart w:id="21" w:name="indicadores-activos"/>
    <w:p>
      <w:pPr>
        <w:pStyle w:val="Heading2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ipc_total</w:t>
            </w:r>
          </w:p>
        </w:tc>
        <w:tc>
          <w:p>
            <w:pPr>
              <w:pStyle w:val="Compact"/>
              <w:jc w:val="left"/>
            </w:pPr>
            <w:r>
              <w:t xml:space="preserve">Inflación mensual del IPC nacional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reservas_bcra</w:t>
            </w:r>
          </w:p>
        </w:tc>
        <w:tc>
          <w:p>
            <w:pPr>
              <w:pStyle w:val="Compact"/>
              <w:jc w:val="left"/>
            </w:pPr>
            <w:r>
              <w:t xml:space="preserve">Reservas internacionales brutas del BCRA (M USD)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badlar</w:t>
            </w:r>
          </w:p>
        </w:tc>
        <w:tc>
          <w:p>
            <w:pPr>
              <w:pStyle w:val="Compact"/>
              <w:jc w:val="left"/>
            </w:pPr>
            <w:r>
              <w:t xml:space="preserve">Tasa para depósitos bancarios mayoristas (% anual)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emae_ia</w:t>
            </w:r>
          </w:p>
        </w:tc>
        <w:tc>
          <w:p>
            <w:pPr>
              <w:pStyle w:val="Compact"/>
              <w:jc w:val="left"/>
            </w:pPr>
            <w:r>
              <w:t xml:space="preserve">Variación interanual de la actividad económica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saldo_comercial_12m</w:t>
            </w:r>
          </w:p>
        </w:tc>
        <w:tc>
          <w:p>
            <w:pPr>
              <w:pStyle w:val="Compact"/>
              <w:jc w:val="left"/>
            </w:pPr>
            <w:r>
              <w:t xml:space="preserve">Balance exportaciones − importaciones acumulado 12m (M USD)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recaudacion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 la recaudación tributaria total</w:t>
            </w:r>
          </w:p>
        </w:tc>
        <w:tc>
          <w:p>
            <w:pPr>
              <w:pStyle w:val="Compact"/>
              <w:jc w:val="left"/>
            </w:pPr>
            <w:r>
              <w:t xml:space="preserve">INDEC/AFIP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tcrm</w:t>
            </w:r>
          </w:p>
        </w:tc>
        <w:tc>
          <w:p>
            <w:pPr>
              <w:pStyle w:val="Compact"/>
              <w:jc w:val="left"/>
            </w:pPr>
            <w:r>
              <w:t xml:space="preserve">Tipo de cambio real multilateral (base 2010=100)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rem_ipc_12m</w:t>
            </w:r>
          </w:p>
        </w:tc>
        <w:tc>
          <w:p>
            <w:pPr>
              <w:pStyle w:val="Compact"/>
              <w:jc w:val="left"/>
            </w:pPr>
            <w:r>
              <w:t xml:space="preserve">Expectativas de inflación a 12 meses (mediana REM)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prestamos_privados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del crédito bancario al sector privado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base_monetaria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 la base monetaria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tc_mayorista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del tipo de cambio oficial mayorista</w:t>
            </w:r>
          </w:p>
        </w:tc>
        <w:tc>
          <w:p>
            <w:pPr>
              <w:pStyle w:val="Compact"/>
              <w:jc w:val="left"/>
            </w:pPr>
            <w:r>
              <w:t xml:space="preserve">BCRA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</w:tbl>
    <w:p>
      <w:pPr>
        <w:pStyle w:val="BodyText"/>
      </w:pPr>
      <w:r>
        <w:t xml:space="preserve">Score actual del cinturón:</w:t>
      </w:r>
      <w:r>
        <w:t xml:space="preserve"> </w:t>
      </w:r>
      <w:r>
        <w:rPr>
          <w:bCs/>
          <w:b/>
        </w:rPr>
        <w:t xml:space="preserve">2.1 (estable)</w:t>
      </w:r>
      <w:r>
        <w:t xml:space="preserve">. Última ejecución: 23 de mayo de 2026, 11 de 11 indicadores frescos.</w:t>
      </w:r>
    </w:p>
    <w:bookmarkEnd w:id="21"/>
    <w:bookmarkStart w:id="33" w:name="detalle-por-indicador"/>
    <w:p>
      <w:pPr>
        <w:pStyle w:val="Heading2"/>
      </w:pPr>
      <w:r>
        <w:t xml:space="preserve">Detalle por indicador</w:t>
      </w:r>
    </w:p>
    <w:bookmarkStart w:id="22" w:name="ipc_total-inflación-mensual"/>
    <w:p>
      <w:pPr>
        <w:pStyle w:val="Heading3"/>
      </w:pPr>
      <w:r>
        <w:rPr>
          <w:rStyle w:val="VerbatimChar"/>
        </w:rPr>
        <w:t xml:space="preserve">ipc_total</w:t>
      </w:r>
      <w:r>
        <w:t xml:space="preserve"> </w:t>
      </w:r>
      <w:r>
        <w:t xml:space="preserve">— Inflación mensual</w:t>
      </w:r>
    </w:p>
    <w:p>
      <w:pPr>
        <w:numPr>
          <w:ilvl w:val="0"/>
          <w:numId w:val="1001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https://apis.datos.gob.ar/series/api/series/?ids=148.3_INIVELNAL_DICI_M_26&amp;format=json&amp;limit=2&amp;sort=desc</w:t>
      </w:r>
    </w:p>
    <w:p>
      <w:pPr>
        <w:numPr>
          <w:ilvl w:val="0"/>
          <w:numId w:val="1001"/>
        </w:numPr>
        <w:pStyle w:val="Compact"/>
      </w:pPr>
      <w:r>
        <w:t xml:space="preserve">Cálculo: variación porcentual mensual =</w:t>
      </w:r>
      <w:r>
        <w:t xml:space="preserve"> </w:t>
      </w:r>
      <w:r>
        <w:rPr>
          <w:rStyle w:val="VerbatimChar"/>
        </w:rPr>
        <w:t xml:space="preserve">(actual / anterior − 1) × 100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Score: lineal. 0% equivale a score 0; 10% equivale a score 10.</w:t>
      </w:r>
    </w:p>
    <w:p>
      <w:pPr>
        <w:numPr>
          <w:ilvl w:val="0"/>
          <w:numId w:val="1001"/>
        </w:numPr>
        <w:pStyle w:val="Compact"/>
      </w:pPr>
      <w:r>
        <w:t xml:space="preserve">Último valor: 3.38% (marzo 2026).</w:t>
      </w:r>
    </w:p>
    <w:bookmarkEnd w:id="22"/>
    <w:bookmarkStart w:id="23" w:name="X4b657f4b1c72abc35e675d7ccf84d60e70cd617"/>
    <w:p>
      <w:pPr>
        <w:pStyle w:val="Heading3"/>
      </w:pPr>
      <w:r>
        <w:rPr>
          <w:rStyle w:val="VerbatimChar"/>
        </w:rPr>
        <w:t xml:space="preserve">reservas_bcra</w:t>
      </w:r>
      <w:r>
        <w:t xml:space="preserve"> </w:t>
      </w:r>
      <w:r>
        <w:t xml:space="preserve">— Reservas internacionales brutas</w:t>
      </w:r>
    </w:p>
    <w:p>
      <w:pPr>
        <w:numPr>
          <w:ilvl w:val="0"/>
          <w:numId w:val="1002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https://api.bcra.gob.ar/estadisticas/v4.0/Monetarias/1</w:t>
      </w:r>
    </w:p>
    <w:p>
      <w:pPr>
        <w:numPr>
          <w:ilvl w:val="0"/>
          <w:numId w:val="1002"/>
        </w:numPr>
        <w:pStyle w:val="Compact"/>
      </w:pPr>
      <w:r>
        <w:t xml:space="preserve">Cálculo: último valor disponible en millones USD. La API devuelve datos en orden descendente;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el dato más reciente.</w:t>
      </w:r>
    </w:p>
    <w:p>
      <w:pPr>
        <w:numPr>
          <w:ilvl w:val="0"/>
          <w:numId w:val="1002"/>
        </w:numPr>
        <w:pStyle w:val="Compact"/>
      </w:pPr>
      <w:r>
        <w:t xml:space="preserve">Score: ≥40.000 equivale a 0; 20.000 equivale a 5; 0 equivale a 10.</w:t>
      </w:r>
    </w:p>
    <w:p>
      <w:pPr>
        <w:numPr>
          <w:ilvl w:val="0"/>
          <w:numId w:val="1002"/>
        </w:numPr>
        <w:pStyle w:val="Compact"/>
      </w:pPr>
      <w:r>
        <w:t xml:space="preserve">Último valor: 46.585 millones USD (mayo 2026).</w:t>
      </w:r>
    </w:p>
    <w:bookmarkEnd w:id="23"/>
    <w:bookmarkStart w:id="24" w:name="badlar-tasa-badlar-bancos-privados"/>
    <w:p>
      <w:pPr>
        <w:pStyle w:val="Heading3"/>
      </w:pPr>
      <w:r>
        <w:rPr>
          <w:rStyle w:val="VerbatimChar"/>
        </w:rPr>
        <w:t xml:space="preserve">badlar</w:t>
      </w:r>
      <w:r>
        <w:t xml:space="preserve"> </w:t>
      </w:r>
      <w:r>
        <w:t xml:space="preserve">— Tasa BADLAR bancos privados</w:t>
      </w:r>
    </w:p>
    <w:p>
      <w:pPr>
        <w:numPr>
          <w:ilvl w:val="0"/>
          <w:numId w:val="1003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https://api.bcra.gob.ar/estadisticas/v4.0/Monetarias/7</w:t>
      </w:r>
    </w:p>
    <w:p>
      <w:pPr>
        <w:numPr>
          <w:ilvl w:val="0"/>
          <w:numId w:val="1003"/>
        </w:numPr>
        <w:pStyle w:val="Compact"/>
      </w:pPr>
      <w:r>
        <w:t xml:space="preserve">Cálculo: último valor disponible (porcentaje anual).</w:t>
      </w:r>
    </w:p>
    <w:p>
      <w:pPr>
        <w:numPr>
          <w:ilvl w:val="0"/>
          <w:numId w:val="1003"/>
        </w:numPr>
        <w:pStyle w:val="Compact"/>
      </w:pPr>
      <w:r>
        <w:t xml:space="preserve">Score: 0% equivale a 0; 50% equivale a 5; 100% equivale a 10.</w:t>
      </w:r>
    </w:p>
    <w:p>
      <w:pPr>
        <w:numPr>
          <w:ilvl w:val="0"/>
          <w:numId w:val="1003"/>
        </w:numPr>
        <w:pStyle w:val="Compact"/>
      </w:pPr>
      <w:r>
        <w:t xml:space="preserve">Último valor: 22.0% (mayo 2026).</w:t>
      </w:r>
    </w:p>
    <w:bookmarkEnd w:id="24"/>
    <w:bookmarkStart w:id="25" w:name="emae_ia-emae-variación-interanual"/>
    <w:p>
      <w:pPr>
        <w:pStyle w:val="Heading3"/>
      </w:pPr>
      <w:r>
        <w:rPr>
          <w:rStyle w:val="VerbatimChar"/>
        </w:rPr>
        <w:t xml:space="preserve">emae_ia</w:t>
      </w:r>
      <w:r>
        <w:t xml:space="preserve"> </w:t>
      </w:r>
      <w:r>
        <w:t xml:space="preserve">— EMAE variación interanual</w:t>
      </w:r>
    </w:p>
    <w:p>
      <w:pPr>
        <w:numPr>
          <w:ilvl w:val="0"/>
          <w:numId w:val="1004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https://apis.datos.gob.ar/series/api/series/?ids=143.3_ICE_SERVIA_2004_A_25&amp;format=json&amp;limit=2&amp;sort=desc</w:t>
      </w:r>
    </w:p>
    <w:p>
      <w:pPr>
        <w:numPr>
          <w:ilvl w:val="0"/>
          <w:numId w:val="1004"/>
        </w:numPr>
        <w:pStyle w:val="Compact"/>
      </w:pPr>
      <w:r>
        <w:t xml:space="preserve">Cálculo: valor directo en decimal multiplicado por 100. Por ejemplo, 0.0188 equivale a 1.88% i.a.</w:t>
      </w:r>
    </w:p>
    <w:p>
      <w:pPr>
        <w:numPr>
          <w:ilvl w:val="0"/>
          <w:numId w:val="1004"/>
        </w:numPr>
        <w:pStyle w:val="Compact"/>
      </w:pPr>
      <w:r>
        <w:t xml:space="preserve">Score: +5% equivale a 0; 0% equivale a 5; −5% equivale a 10.</w:t>
      </w:r>
    </w:p>
    <w:p>
      <w:pPr>
        <w:numPr>
          <w:ilvl w:val="0"/>
          <w:numId w:val="1004"/>
        </w:numPr>
        <w:pStyle w:val="Compact"/>
      </w:pPr>
      <w:r>
        <w:t xml:space="preserve">Nota técnica: las series</w:t>
      </w:r>
      <w:r>
        <w:t xml:space="preserve"> </w:t>
      </w:r>
      <w:r>
        <w:rPr>
          <w:rStyle w:val="VerbatimChar"/>
        </w:rPr>
        <w:t xml:space="preserve">143.1_*</w:t>
      </w:r>
      <w:r>
        <w:t xml:space="preserve"> </w:t>
      </w:r>
      <w:r>
        <w:t xml:space="preserve">son anuales,</w:t>
      </w:r>
      <w:r>
        <w:t xml:space="preserve"> </w:t>
      </w:r>
      <w:r>
        <w:rPr>
          <w:rStyle w:val="VerbatimChar"/>
        </w:rPr>
        <w:t xml:space="preserve">143.2_*</w:t>
      </w:r>
      <w:r>
        <w:t xml:space="preserve"> </w:t>
      </w:r>
      <w:r>
        <w:t xml:space="preserve">son trimestrales,</w:t>
      </w:r>
      <w:r>
        <w:t xml:space="preserve"> </w:t>
      </w:r>
      <w:r>
        <w:rPr>
          <w:rStyle w:val="VerbatimChar"/>
        </w:rPr>
        <w:t xml:space="preserve">143.3_*</w:t>
      </w:r>
      <w:r>
        <w:t xml:space="preserve"> </w:t>
      </w:r>
      <w:r>
        <w:t xml:space="preserve">son mensuales.</w:t>
      </w:r>
    </w:p>
    <w:p>
      <w:pPr>
        <w:numPr>
          <w:ilvl w:val="0"/>
          <w:numId w:val="1004"/>
        </w:numPr>
        <w:pStyle w:val="Compact"/>
      </w:pPr>
      <w:r>
        <w:t xml:space="preserve">Último valor: +1.88% i.a. (enero 2026).</w:t>
      </w:r>
    </w:p>
    <w:bookmarkEnd w:id="25"/>
    <w:bookmarkStart w:id="26" w:name="X66f0bd600fe97adb434b615091a9e05c026800b"/>
    <w:p>
      <w:pPr>
        <w:pStyle w:val="Heading3"/>
      </w:pPr>
      <w:r>
        <w:rPr>
          <w:rStyle w:val="VerbatimChar"/>
        </w:rPr>
        <w:t xml:space="preserve">saldo_comercial_12m</w:t>
      </w:r>
      <w:r>
        <w:t xml:space="preserve"> </w:t>
      </w:r>
      <w:r>
        <w:t xml:space="preserve">— Balance comercial acumulado 12 meses</w:t>
      </w:r>
    </w:p>
    <w:p>
      <w:pPr>
        <w:numPr>
          <w:ilvl w:val="0"/>
          <w:numId w:val="1005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https://apis.datos.gob.ar/series/api/series/?ids=164.3_SOTALTAL_0_0_8&amp;format=json&amp;limit=13&amp;sort=desc</w:t>
      </w:r>
    </w:p>
    <w:p>
      <w:pPr>
        <w:numPr>
          <w:ilvl w:val="0"/>
          <w:numId w:val="1005"/>
        </w:numPr>
        <w:pStyle w:val="Compact"/>
      </w:pPr>
      <w:r>
        <w:t xml:space="preserve">Cálculo: suma de los 12 últimos valores mensuales del saldo comercial total.</w:t>
      </w:r>
    </w:p>
    <w:p>
      <w:pPr>
        <w:numPr>
          <w:ilvl w:val="0"/>
          <w:numId w:val="1005"/>
        </w:numPr>
        <w:pStyle w:val="Compact"/>
      </w:pPr>
      <w:r>
        <w:t xml:space="preserve">Score: +6000 equivale a 0; 0 equivale a 5; −6000 equivale a 10.</w:t>
      </w:r>
    </w:p>
    <w:p>
      <w:pPr>
        <w:numPr>
          <w:ilvl w:val="0"/>
          <w:numId w:val="1005"/>
        </w:numPr>
        <w:pStyle w:val="Compact"/>
      </w:pPr>
      <w:r>
        <w:t xml:space="preserve">Nota: la publicación tiene rezago de aproximadamente 3 meses. El acumulado 12 meses elimina estacionalidad energética y sojera.</w:t>
      </w:r>
    </w:p>
    <w:p>
      <w:pPr>
        <w:numPr>
          <w:ilvl w:val="0"/>
          <w:numId w:val="1005"/>
        </w:numPr>
        <w:pStyle w:val="Compact"/>
      </w:pPr>
      <w:r>
        <w:t xml:space="preserve">Último valor: +17.125 millones USD (12 meses hasta febrero 2025).</w:t>
      </w:r>
    </w:p>
    <w:bookmarkEnd w:id="26"/>
    <w:bookmarkStart w:id="27" w:name="recaudacion-recaudación-tributaria-total"/>
    <w:p>
      <w:pPr>
        <w:pStyle w:val="Heading3"/>
      </w:pPr>
      <w:r>
        <w:rPr>
          <w:rStyle w:val="VerbatimChar"/>
        </w:rPr>
        <w:t xml:space="preserve">recaudacion</w:t>
      </w:r>
      <w:r>
        <w:t xml:space="preserve"> </w:t>
      </w:r>
      <w:r>
        <w:t xml:space="preserve">— Recaudación tributaria total</w:t>
      </w:r>
    </w:p>
    <w:p>
      <w:pPr>
        <w:numPr>
          <w:ilvl w:val="0"/>
          <w:numId w:val="1006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https://apis.datos.gob.ar/series/api/series/?ids=172.3_TL_RECAION_M_0_0_17&amp;format=json&amp;limit=2&amp;sort=desc</w:t>
      </w:r>
    </w:p>
    <w:p>
      <w:pPr>
        <w:numPr>
          <w:ilvl w:val="0"/>
          <w:numId w:val="1006"/>
        </w:numPr>
        <w:pStyle w:val="Compact"/>
      </w:pPr>
      <w:r>
        <w:t xml:space="preserve">Cálculo: variación porcentual mensual nominal.</w:t>
      </w:r>
    </w:p>
    <w:p>
      <w:pPr>
        <w:numPr>
          <w:ilvl w:val="0"/>
          <w:numId w:val="1006"/>
        </w:numPr>
        <w:pStyle w:val="Compact"/>
      </w:pPr>
      <w:r>
        <w:t xml:space="preserve">Score: +5% equivale a 0; 0% equivale a 5; −5% equivale a 10.</w:t>
      </w:r>
    </w:p>
    <w:p>
      <w:pPr>
        <w:numPr>
          <w:ilvl w:val="0"/>
          <w:numId w:val="1006"/>
        </w:numPr>
        <w:pStyle w:val="Compact"/>
      </w:pPr>
      <w:r>
        <w:t xml:space="preserve">Nota: tiene ruido estacional (enero presenta grandes vencimientos). Considerar migrar a variación interanual en futura versión.</w:t>
      </w:r>
    </w:p>
    <w:p>
      <w:pPr>
        <w:numPr>
          <w:ilvl w:val="0"/>
          <w:numId w:val="1006"/>
        </w:numPr>
        <w:pStyle w:val="Compact"/>
      </w:pPr>
      <w:r>
        <w:t xml:space="preserve">Último valor: −0.99% var. m (marzo 2026).</w:t>
      </w:r>
    </w:p>
    <w:bookmarkEnd w:id="27"/>
    <w:bookmarkStart w:id="28" w:name="tcrm-tipo-de-cambio-real-multilateral"/>
    <w:p>
      <w:pPr>
        <w:pStyle w:val="Heading3"/>
      </w:pPr>
      <w:r>
        <w:rPr>
          <w:rStyle w:val="VerbatimChar"/>
        </w:rPr>
        <w:t xml:space="preserve">tcrm</w:t>
      </w:r>
      <w:r>
        <w:t xml:space="preserve"> </w:t>
      </w:r>
      <w:r>
        <w:t xml:space="preserve">— Tipo de cambio real multilateral</w:t>
      </w:r>
    </w:p>
    <w:p>
      <w:pPr>
        <w:numPr>
          <w:ilvl w:val="0"/>
          <w:numId w:val="1007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https://apis.datos.gob.ar/series/api/series/?ids=116.3_TCRMA_0_M_36&amp;format=json&amp;limit=2&amp;sort=desc</w:t>
      </w:r>
    </w:p>
    <w:p>
      <w:pPr>
        <w:numPr>
          <w:ilvl w:val="0"/>
          <w:numId w:val="1007"/>
        </w:numPr>
        <w:pStyle w:val="Compact"/>
      </w:pPr>
      <w:r>
        <w:t xml:space="preserve">Cálculo: último valor índice (base 2010=100).</w:t>
      </w:r>
    </w:p>
    <w:p>
      <w:pPr>
        <w:numPr>
          <w:ilvl w:val="0"/>
          <w:numId w:val="1007"/>
        </w:numPr>
        <w:pStyle w:val="Compact"/>
      </w:pPr>
      <w:r>
        <w:t xml:space="preserve">Score: 100 equivale a 0; 75 equivale a 5; 50 equivale a 10.</w:t>
      </w:r>
    </w:p>
    <w:p>
      <w:pPr>
        <w:numPr>
          <w:ilvl w:val="0"/>
          <w:numId w:val="1007"/>
        </w:numPr>
        <w:pStyle w:val="Compact"/>
      </w:pPr>
      <w:r>
        <w:t xml:space="preserve">Nota: rezago de 2-3 meses en INDEC.</w:t>
      </w:r>
    </w:p>
    <w:p>
      <w:pPr>
        <w:numPr>
          <w:ilvl w:val="0"/>
          <w:numId w:val="1007"/>
        </w:numPr>
        <w:pStyle w:val="Compact"/>
      </w:pPr>
      <w:r>
        <w:t xml:space="preserve">Último valor: 79.77 (diciembre 2024).</w:t>
      </w:r>
    </w:p>
    <w:bookmarkEnd w:id="28"/>
    <w:bookmarkStart w:id="29" w:name="X1036686267e3a285ecd1c178e4ef2a9529e41bd"/>
    <w:p>
      <w:pPr>
        <w:pStyle w:val="Heading3"/>
      </w:pPr>
      <w:r>
        <w:rPr>
          <w:rStyle w:val="VerbatimChar"/>
        </w:rPr>
        <w:t xml:space="preserve">rem_ipc_12m</w:t>
      </w:r>
      <w:r>
        <w:t xml:space="preserve"> </w:t>
      </w:r>
      <w:r>
        <w:t xml:space="preserve">— Expectativas de inflación a 12 meses</w:t>
      </w:r>
    </w:p>
    <w:p>
      <w:pPr>
        <w:numPr>
          <w:ilvl w:val="0"/>
          <w:numId w:val="1008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https://api.bcra.gob.ar/estadisticas/v4.0/Monetarias/29</w:t>
      </w:r>
    </w:p>
    <w:p>
      <w:pPr>
        <w:numPr>
          <w:ilvl w:val="0"/>
          <w:numId w:val="1008"/>
        </w:numPr>
        <w:pStyle w:val="Compact"/>
      </w:pPr>
      <w:r>
        <w:t xml:space="preserve">Cálculo: mediana de expectativas de variación interanual del IPC a 12 meses (porcentaje anual).</w:t>
      </w:r>
    </w:p>
    <w:p>
      <w:pPr>
        <w:numPr>
          <w:ilvl w:val="0"/>
          <w:numId w:val="1008"/>
        </w:numPr>
        <w:pStyle w:val="Compact"/>
      </w:pPr>
      <w:r>
        <w:t xml:space="preserve">Score: 10% equivale a 0; 55% equivale a 5; 100% equivale a 9.</w:t>
      </w:r>
    </w:p>
    <w:p>
      <w:pPr>
        <w:numPr>
          <w:ilvl w:val="0"/>
          <w:numId w:val="1008"/>
        </w:numPr>
        <w:pStyle w:val="Compact"/>
      </w:pPr>
      <w:r>
        <w:t xml:space="preserve">Último valor: 24.2% anual (abril 2026).</w:t>
      </w:r>
    </w:p>
    <w:bookmarkEnd w:id="29"/>
    <w:bookmarkStart w:id="30" w:name="X71113e3e5156ee861a24aaf079d427b4044fbea"/>
    <w:p>
      <w:pPr>
        <w:pStyle w:val="Heading3"/>
      </w:pPr>
      <w:r>
        <w:rPr>
          <w:rStyle w:val="VerbatimChar"/>
        </w:rPr>
        <w:t xml:space="preserve">prestamos_privados</w:t>
      </w:r>
      <w:r>
        <w:t xml:space="preserve"> </w:t>
      </w:r>
      <w:r>
        <w:t xml:space="preserve">— Préstamos sector privado</w:t>
      </w:r>
    </w:p>
    <w:p>
      <w:pPr>
        <w:numPr>
          <w:ilvl w:val="0"/>
          <w:numId w:val="1009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https://api.bcra.gob.ar/estadisticas/v4.0/Monetarias/26?desde=YYYY-MM-DD</w:t>
      </w:r>
    </w:p>
    <w:p>
      <w:pPr>
        <w:numPr>
          <w:ilvl w:val="0"/>
          <w:numId w:val="1009"/>
        </w:numPr>
        <w:pStyle w:val="Compact"/>
      </w:pPr>
      <w:r>
        <w:t xml:space="preserve">Cálculo: variación porcentual mensual nominal (último valor vs. valor de hace 30 días).</w:t>
      </w:r>
    </w:p>
    <w:p>
      <w:pPr>
        <w:numPr>
          <w:ilvl w:val="0"/>
          <w:numId w:val="1009"/>
        </w:numPr>
        <w:pStyle w:val="Compact"/>
      </w:pPr>
      <w:r>
        <w:t xml:space="preserve">Score: +5% equivale a 0; 0% equivale a 5; −5% equivale a 10.</w:t>
      </w:r>
    </w:p>
    <w:p>
      <w:pPr>
        <w:numPr>
          <w:ilvl w:val="0"/>
          <w:numId w:val="1009"/>
        </w:numPr>
        <w:pStyle w:val="Compact"/>
      </w:pPr>
      <w:r>
        <w:t xml:space="preserve">Último valor: +2.13% var. m (mayo 2026).</w:t>
      </w:r>
    </w:p>
    <w:bookmarkEnd w:id="30"/>
    <w:bookmarkStart w:id="31" w:name="base_monetaria-base-monetaria"/>
    <w:p>
      <w:pPr>
        <w:pStyle w:val="Heading3"/>
      </w:pPr>
      <w:r>
        <w:rPr>
          <w:rStyle w:val="VerbatimChar"/>
        </w:rPr>
        <w:t xml:space="preserve">base_monetaria</w:t>
      </w:r>
      <w:r>
        <w:t xml:space="preserve"> </w:t>
      </w:r>
      <w:r>
        <w:t xml:space="preserve">— Base monetaria</w:t>
      </w:r>
    </w:p>
    <w:p>
      <w:pPr>
        <w:numPr>
          <w:ilvl w:val="0"/>
          <w:numId w:val="1010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https://api.bcra.gob.ar/estadisticas/v4.0/Monetarias/15?desde=YYYY-MM-DD</w:t>
      </w:r>
    </w:p>
    <w:p>
      <w:pPr>
        <w:numPr>
          <w:ilvl w:val="0"/>
          <w:numId w:val="1010"/>
        </w:numPr>
        <w:pStyle w:val="Compact"/>
      </w:pPr>
      <w:r>
        <w:t xml:space="preserve">Cálculo: variación porcentual mensual nominal.</w:t>
      </w:r>
    </w:p>
    <w:p>
      <w:pPr>
        <w:numPr>
          <w:ilvl w:val="0"/>
          <w:numId w:val="1010"/>
        </w:numPr>
        <w:pStyle w:val="Compact"/>
      </w:pPr>
      <w:r>
        <w:t xml:space="preserve">Score: 0% equivale a 0; 10% equivale a 5; 20% equivale a 10.</w:t>
      </w:r>
    </w:p>
    <w:p>
      <w:pPr>
        <w:numPr>
          <w:ilvl w:val="0"/>
          <w:numId w:val="1010"/>
        </w:numPr>
        <w:pStyle w:val="Compact"/>
      </w:pPr>
      <w:r>
        <w:t xml:space="preserve">Último valor: +0.7% var. m (mayo 2026).</w:t>
      </w:r>
    </w:p>
    <w:bookmarkEnd w:id="31"/>
    <w:bookmarkStart w:id="32" w:name="tc_mayorista-tipo-de-cambio-mayorista"/>
    <w:p>
      <w:pPr>
        <w:pStyle w:val="Heading3"/>
      </w:pPr>
      <w:r>
        <w:rPr>
          <w:rStyle w:val="VerbatimChar"/>
        </w:rPr>
        <w:t xml:space="preserve">tc_mayorista</w:t>
      </w:r>
      <w:r>
        <w:t xml:space="preserve"> </w:t>
      </w:r>
      <w:r>
        <w:t xml:space="preserve">— Tipo de cambio mayorista</w:t>
      </w:r>
    </w:p>
    <w:p>
      <w:pPr>
        <w:numPr>
          <w:ilvl w:val="0"/>
          <w:numId w:val="1011"/>
        </w:numPr>
        <w:pStyle w:val="Compac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GET https://api.bcra.gob.ar/estadisticas/v4.0/Monetarias/5?desde=YYYY-MM-DD</w:t>
      </w:r>
    </w:p>
    <w:p>
      <w:pPr>
        <w:numPr>
          <w:ilvl w:val="0"/>
          <w:numId w:val="1011"/>
        </w:numPr>
        <w:pStyle w:val="Compact"/>
      </w:pPr>
      <w:r>
        <w:t xml:space="preserve">Cálculo: variación porcentual mensual.</w:t>
      </w:r>
    </w:p>
    <w:p>
      <w:pPr>
        <w:numPr>
          <w:ilvl w:val="0"/>
          <w:numId w:val="1011"/>
        </w:numPr>
        <w:pStyle w:val="Compact"/>
      </w:pPr>
      <w:r>
        <w:t xml:space="preserve">Score: 0% equivale a 0; 10% equivale a 5; 20% equivale a 10.</w:t>
      </w:r>
    </w:p>
    <w:p>
      <w:pPr>
        <w:numPr>
          <w:ilvl w:val="0"/>
          <w:numId w:val="1011"/>
        </w:numPr>
        <w:pStyle w:val="Compact"/>
      </w:pPr>
      <w:r>
        <w:t xml:space="preserve">Último valor: −0.27% var. m (mayo 2026).</w:t>
      </w:r>
    </w:p>
    <w:bookmarkEnd w:id="32"/>
    <w:bookmarkEnd w:id="33"/>
    <w:bookmarkStart w:id="34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scripts/macro.py</w:t>
      </w:r>
    </w:p>
    <w:p>
      <w:pPr>
        <w:pStyle w:val="FirstParagraph"/>
      </w:pPr>
      <w:r>
        <w:t xml:space="preserve">Códigos de salida: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Todos los indicadores frescos (11/11)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 menos uno fresco (algunos fallaron, usó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Ningún indicador fresco (todo desde cache)</w:t>
            </w:r>
          </w:p>
        </w:tc>
      </w:tr>
    </w:tbl>
    <w:bookmarkEnd w:id="34"/>
    <w:bookmarkStart w:id="35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12"/>
        </w:numPr>
        <w:pStyle w:val="Compact"/>
      </w:pPr>
      <w:r>
        <w:t xml:space="preserve">El BCRA 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 </w:t>
      </w:r>
      <w:r>
        <w:t xml:space="preserve">por la configuración SSL del servidor.</w:t>
      </w:r>
    </w:p>
    <w:p>
      <w:pPr>
        <w:numPr>
          <w:ilvl w:val="0"/>
          <w:numId w:val="1012"/>
        </w:numPr>
        <w:pStyle w:val="Compact"/>
      </w:pPr>
      <w:r>
        <w:t xml:space="preserve">Los datos del BCRA vienen en orden descendente: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el dato más reciente; no usar</w:t>
      </w:r>
      <w:r>
        <w:t xml:space="preserve"> </w:t>
      </w:r>
      <w:r>
        <w:rPr>
          <w:rStyle w:val="VerbatimChar"/>
        </w:rPr>
        <w:t xml:space="preserve">detalle[-1]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Para series INDEC, los prefijos indican frecuencia:</w:t>
      </w:r>
      <w:r>
        <w:t xml:space="preserve"> </w:t>
      </w:r>
      <w:r>
        <w:rPr>
          <w:rStyle w:val="VerbatimChar"/>
        </w:rPr>
        <w:t xml:space="preserve">143.3_*</w:t>
      </w:r>
      <w:r>
        <w:t xml:space="preserve"> </w:t>
      </w:r>
      <w:r>
        <w:t xml:space="preserve">mensual,</w:t>
      </w:r>
      <w:r>
        <w:t xml:space="preserve"> </w:t>
      </w:r>
      <w:r>
        <w:rPr>
          <w:rStyle w:val="VerbatimChar"/>
        </w:rPr>
        <w:t xml:space="preserve">143.2_*</w:t>
      </w:r>
      <w:r>
        <w:t xml:space="preserve"> </w:t>
      </w:r>
      <w:r>
        <w:t xml:space="preserve">trimestral,</w:t>
      </w:r>
      <w:r>
        <w:t xml:space="preserve"> </w:t>
      </w:r>
      <w:r>
        <w:rPr>
          <w:rStyle w:val="VerbatimChar"/>
        </w:rPr>
        <w:t xml:space="preserve">143.1_*</w:t>
      </w:r>
      <w:r>
        <w:t xml:space="preserve"> </w:t>
      </w:r>
      <w:r>
        <w:t xml:space="preserve">anual.</w:t>
      </w:r>
    </w:p>
    <w:p>
      <w:pPr>
        <w:numPr>
          <w:ilvl w:val="0"/>
          <w:numId w:val="1012"/>
        </w:numPr>
        <w:pStyle w:val="Compact"/>
      </w:pPr>
      <w:r>
        <w:t xml:space="preserve">Si INDEC reasigna alguna serie, buscar en</w:t>
      </w:r>
      <w:r>
        <w:t xml:space="preserve"> </w:t>
      </w:r>
      <w:r>
        <w:rPr>
          <w:rStyle w:val="VerbatimChar"/>
        </w:rPr>
        <w:t xml:space="preserve">https://apis.datos.gob.ar/series/api/search/?q=&lt;nombre&gt;&amp;limit=5&amp;format=json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Si BCRA migra la versión de la API (v4.0 a v5.0), actualizar</w:t>
      </w:r>
      <w:r>
        <w:t xml:space="preserve"> </w:t>
      </w:r>
      <w:r>
        <w:rPr>
          <w:rStyle w:val="VerbatimChar"/>
        </w:rPr>
        <w:t xml:space="preserve">BCRA_VARIABLES_BASE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macro.py</w:t>
      </w:r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2026-05-23T17:37:38Z</dcterms:created>
  <dcterms:modified xsi:type="dcterms:W3CDTF">2026-05-23T17:37:38Z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