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inturón-vida-cotidiana"/>
    <w:p>
      <w:pPr>
        <w:pStyle w:val="Heading1"/>
      </w:pPr>
      <w:r>
        <w:t xml:space="preserve">Cinturón Vida Cotidiana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Orquestador completo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scripts/vida_cotidiana/main.py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 puente (legacy)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scripts/vida_cotidiana.py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del orquestador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scripts/vida_cotidiana/data/vida_cotidiana_YYYYMMDD_HHMM.json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en score global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Barbarismo de riesgo</w:t>
            </w:r>
          </w:p>
        </w:tc>
        <w:tc>
          <w:p>
            <w:pPr>
              <w:pStyle w:val="Compact"/>
              <w:jc w:val="left"/>
            </w:pPr>
            <w:r>
              <w:t xml:space="preserve">político — confundir popularidad con poder o ignorar el malestar material</w:t>
            </w:r>
          </w:p>
        </w:tc>
      </w:tr>
    </w:tbl>
    <w:bookmarkStart w:id="20" w:name="encuadre"/>
    <w:p>
      <w:pPr>
        <w:pStyle w:val="Heading2"/>
      </w:pPr>
      <w:r>
        <w:t xml:space="preserve">Encuadre</w:t>
      </w:r>
    </w:p>
    <w:p>
      <w:pPr>
        <w:pStyle w:val="FirstParagraph"/>
      </w:pPr>
      <w:r>
        <w:t xml:space="preserve">Marco conceptual: cinturones de gobierno de Carlos Matus combinado con la propuesta de 15 indicadores del documento</w:t>
      </w:r>
      <w:r>
        <w:t xml:space="preserve"> </w:t>
      </w:r>
      <w:r>
        <w:rPr>
          <w:iCs/>
          <w:i/>
        </w:rPr>
        <w:t xml:space="preserve">Monitor de la Vida Cotidiana</w:t>
      </w:r>
      <w:r>
        <w:t xml:space="preserve"> </w:t>
      </w:r>
      <w:r>
        <w:t xml:space="preserve">(CIGOB, mayo 2026). El cinturón mide la experiencia material cotidiana del ciudadano: precios, ingreso, empleo, consumo, salud, seguridad, percepción.</w:t>
      </w:r>
    </w:p>
    <w:bookmarkEnd w:id="20"/>
    <w:bookmarkStart w:id="23" w:name="indicadores-activos"/>
    <w:p>
      <w:pPr>
        <w:pStyle w:val="Heading2"/>
      </w:pPr>
      <w:r>
        <w:t xml:space="preserve">Indicadores activos</w:t>
      </w:r>
    </w:p>
    <w:p>
      <w:pPr>
        <w:pStyle w:val="FirstParagraph"/>
      </w:pPr>
      <w:r>
        <w:t xml:space="preserve">El orquestador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recolecta 8 fuentes con aproximadamente 32 datapoints por ejecución. Tabla de mapeo contra los 14 conceptos del documento base: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Concepto del documento base</w:t>
            </w:r>
          </w:p>
        </w:tc>
        <w:tc>
          <w:p>
            <w:pPr>
              <w:pStyle w:val="Compact"/>
              <w:jc w:val="left"/>
            </w:pPr>
            <w:r>
              <w:t xml:space="preserve">Indicador técnico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Salario Real vs. CBT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brecha_salario_cbt</w:t>
            </w:r>
          </w:p>
        </w:tc>
        <w:tc>
          <w:p>
            <w:pPr>
              <w:pStyle w:val="Compact"/>
              <w:jc w:val="left"/>
            </w:pPr>
            <w:r>
              <w:t xml:space="preserve">INDEC (RIPTE + CBT)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 Alimentos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ipc_alimentos</w:t>
            </w:r>
          </w:p>
        </w:tc>
        <w:tc>
          <w:p>
            <w:pPr>
              <w:pStyle w:val="Compact"/>
              <w:jc w:val="left"/>
            </w:pPr>
            <w:r>
              <w:t xml:space="preserve">INDEC, serie 146.3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Endeudamiento Familiar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prestamos_*</w:t>
            </w:r>
            <w:r>
              <w:t xml:space="preserve"> </w:t>
            </w:r>
            <w:r>
              <w:t xml:space="preserve">(tarjeta, personales, hipotecarios, consumo)</w:t>
            </w:r>
          </w:p>
        </w:tc>
        <w:tc>
          <w:p>
            <w:pPr>
              <w:pStyle w:val="Compact"/>
              <w:jc w:val="left"/>
            </w:pPr>
            <w:r>
              <w:t xml:space="preserve">BCRA API v4.0</w:t>
            </w:r>
          </w:p>
        </w:tc>
        <w:tc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Peso de Tarifas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ipc_vivienda + ipc_regulados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Consumo de Carne Vacuna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consumo_carne_per_capita</w:t>
            </w:r>
          </w:p>
        </w:tc>
        <w:tc>
          <w:p>
            <w:pPr>
              <w:pStyle w:val="Compact"/>
              <w:jc w:val="left"/>
            </w:pPr>
            <w:r>
              <w:t xml:space="preserve">CICCRA (parsing PDF)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Informalidad Laboral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informalidad_anual</w:t>
            </w:r>
          </w:p>
        </w:tc>
        <w:tc>
          <w:p>
            <w:pPr>
              <w:pStyle w:val="Compact"/>
              <w:jc w:val="left"/>
            </w:pPr>
            <w:r>
              <w:t xml:space="preserve">INDEC (asalariados sin descuento)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Mortalidad de PyMEs (proxy)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ipi + emae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Despacho Cemento e Hierro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isac + acero_crudo</w:t>
            </w:r>
          </w:p>
        </w:tc>
        <w:tc>
          <w:p>
            <w:pPr>
              <w:pStyle w:val="Compact"/>
              <w:jc w:val="left"/>
            </w:pPr>
            <w:r>
              <w:t xml:space="preserve">INDEC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Pluriempleo (proxy)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subocupacion_demandante</w:t>
            </w:r>
          </w:p>
        </w:tc>
        <w:tc>
          <w:p>
            <w:pPr>
              <w:pStyle w:val="Compact"/>
              <w:jc w:val="left"/>
            </w:pPr>
            <w:r>
              <w:t xml:space="preserve">INDEC EPH</w:t>
            </w:r>
          </w:p>
        </w:tc>
        <w:tc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Espera en Salud Pública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salud_datasets</w:t>
            </w:r>
          </w:p>
        </w:tc>
        <w:tc>
          <w:p>
            <w:pPr>
              <w:pStyle w:val="Compact"/>
              <w:jc w:val="left"/>
            </w:pPr>
            <w:r>
              <w:t xml:space="preserve">DEIS / CKAN (solo enumera datasets)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Automático parcial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Inseguridad Urbana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inseguridad_snic + delitos_caba_disponible</w:t>
            </w:r>
          </w:p>
        </w:tc>
        <w:tc>
          <w:p>
            <w:pPr>
              <w:pStyle w:val="Compact"/>
              <w:jc w:val="left"/>
            </w:pPr>
            <w:r>
              <w:t xml:space="preserve">SNIC + CABA datos abiertos</w:t>
            </w:r>
          </w:p>
        </w:tc>
        <w:tc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ICC Confianza del Consumidor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icc_utdt</w:t>
            </w:r>
          </w:p>
        </w:tc>
        <w:tc>
          <w:p>
            <w:pPr>
              <w:pStyle w:val="Compact"/>
              <w:jc w:val="left"/>
            </w:pPr>
            <w:r>
              <w:t xml:space="preserve">UTDT (scraping XLS)</w:t>
            </w:r>
          </w:p>
        </w:tc>
        <w:tc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Sentimiento Digital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sentimiento_digital</w:t>
            </w:r>
            <w:r>
              <w:t xml:space="preserve"> </w:t>
            </w:r>
            <w:r>
              <w:t xml:space="preserve">(Google Trends)</w:t>
            </w:r>
          </w:p>
        </w:tc>
        <w:tc>
          <w:p>
            <w:pPr>
              <w:pStyle w:val="Compact"/>
              <w:jc w:val="left"/>
            </w:pPr>
            <w:r>
              <w:t xml:space="preserve">pytrends</w:t>
            </w:r>
          </w:p>
        </w:tc>
        <w:tc>
          <w:p>
            <w:pPr>
              <w:pStyle w:val="Compact"/>
              <w:jc w:val="left"/>
            </w:pPr>
            <w:r>
              <w:t xml:space="preserve">Tiempo real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Apatía Electoral</w:t>
            </w:r>
          </w:p>
        </w:tc>
        <w:tc>
          <w:p>
            <w:pPr>
              <w:pStyle w:val="Compact"/>
              <w:jc w:val="left"/>
            </w:pPr>
            <w:r>
              <w:t xml:space="preserve">(implementado en cinturón POLÍTICO como</w:t>
            </w:r>
            <w:r>
              <w:t xml:space="preserve"> </w:t>
            </w:r>
            <w:r>
              <w:rPr>
                <w:rStyle w:val="VerbatimChar"/>
              </w:rPr>
              <w:t xml:space="preserve">votometro_ventaja_lla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Votómetro CIGOB</w:t>
            </w:r>
          </w:p>
        </w:tc>
        <w:tc>
          <w:p>
            <w:pPr>
              <w:pStyle w:val="Compact"/>
              <w:jc w:val="left"/>
            </w:pPr>
            <w:r>
              <w:t xml:space="preserve">Continua</w:t>
            </w:r>
          </w:p>
        </w:tc>
        <w:tc>
          <w:p>
            <w:pPr>
              <w:pStyle w:val="Compact"/>
              <w:jc w:val="left"/>
            </w:pPr>
            <w:r>
              <w:t xml:space="preserve">Automático</w:t>
            </w:r>
          </w:p>
        </w:tc>
      </w:tr>
    </w:tbl>
    <w:bookmarkStart w:id="21" w:name="indicador-adicional-implementado"/>
    <w:p>
      <w:pPr>
        <w:pStyle w:val="Heading3"/>
      </w:pPr>
      <w:r>
        <w:t xml:space="preserve">Indicador adicional implementado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patentamiento_motos</w:t>
            </w:r>
          </w:p>
        </w:tc>
        <w:tc>
          <w:p>
            <w:pPr>
              <w:pStyle w:val="Compact"/>
              <w:jc w:val="left"/>
            </w:pPr>
            <w:r>
              <w:t xml:space="preserve">CAFAM</w:t>
            </w:r>
          </w:p>
        </w:tc>
        <w:tc>
          <w:p>
            <w:pPr>
              <w:pStyle w:val="Compact"/>
              <w:jc w:val="left"/>
            </w:pPr>
            <w:r>
              <w:t xml:space="preserve">Proxy adicional de consumo discrecional. 51.124 unidades en mayo 2026.</w:t>
            </w:r>
          </w:p>
        </w:tc>
      </w:tr>
    </w:tbl>
    <w:bookmarkEnd w:id="21"/>
    <w:bookmarkStart w:id="22" w:name="indicador-de-carga-manual"/>
    <w:p>
      <w:pPr>
        <w:pStyle w:val="Heading3"/>
      </w:pPr>
      <w:r>
        <w:t xml:space="preserve">Indicador de carga manual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p>
            <w:pPr>
              <w:pStyle w:val="Compact"/>
              <w:jc w:val="left"/>
            </w:pPr>
            <w:r>
              <w:t xml:space="preserve">Razón de carga 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Deserción escolar</w:t>
            </w:r>
          </w:p>
        </w:tc>
        <w:tc>
          <w:p>
            <w:pPr>
              <w:pStyle w:val="Compact"/>
              <w:jc w:val="left"/>
            </w:pPr>
            <w:r>
              <w:t xml:space="preserve">Sin serie mensual disponible. Ministerio de Educación publica datos con rezago anual; carga manual en cada actualización ministerial.</w:t>
            </w:r>
          </w:p>
        </w:tc>
      </w:tr>
    </w:tbl>
    <w:bookmarkEnd w:id="22"/>
    <w:bookmarkEnd w:id="23"/>
    <w:bookmarkStart w:id="24" w:name="estado-de-extracción-mayo-2026"/>
    <w:p>
      <w:pPr>
        <w:pStyle w:val="Heading2"/>
      </w:pPr>
      <w:r>
        <w:t xml:space="preserve">Estado de extracción (mayo 2026)</w:t>
      </w:r>
    </w:p>
    <w:p>
      <w:pPr>
        <w:pStyle w:val="FirstParagraph"/>
      </w:pPr>
      <w:r>
        <w:t xml:space="preserve">Las 8 fuentes activas devolvieron datos en la última ejecución (23 de mayo de 2026, 13:56):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p>
            <w:pPr>
              <w:pStyle w:val="Compact"/>
              <w:jc w:val="left"/>
            </w:pPr>
            <w:r>
              <w:t xml:space="preserve">Indicadores</w:t>
            </w:r>
          </w:p>
        </w:tc>
        <w:tc>
          <w:p>
            <w:pPr>
              <w:pStyle w:val="Compact"/>
              <w:jc w:val="left"/>
            </w:pPr>
            <w:r>
              <w:t xml:space="preserve">Última fecha de dato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INDEC (datos.gob.ar)</w:t>
            </w:r>
          </w:p>
        </w:tc>
        <w:tc>
          <w:p>
            <w:pPr>
              <w:pStyle w:val="Compact"/>
              <w:jc w:val="left"/>
            </w:pPr>
            <w:r>
              <w:t xml:space="preserve">19 (IPC variantes, CBT/CBA, RIPTE, salario real, EPH, EMAE/IPI, faena/acero)</w:t>
            </w:r>
          </w:p>
        </w:tc>
        <w:tc>
          <w:p>
            <w:pPr>
              <w:pStyle w:val="Compact"/>
              <w:jc w:val="left"/>
            </w:pPr>
            <w:r>
              <w:t xml:space="preserve">marzo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BCRA API v4.0</w:t>
            </w:r>
          </w:p>
        </w:tc>
        <w:tc>
          <w:p>
            <w:pPr>
              <w:pStyle w:val="Compact"/>
              <w:jc w:val="left"/>
            </w:pPr>
            <w:r>
              <w:t xml:space="preserve">6 (préstamos privados, tarjeta, personales, hipotecarios, consumo, BADLAR)</w:t>
            </w:r>
          </w:p>
        </w:tc>
        <w:tc>
          <w:p>
            <w:pPr>
              <w:pStyle w:val="Compact"/>
              <w:jc w:val="left"/>
            </w:pPr>
            <w:r>
              <w:t xml:space="preserve">mayo 2026 (diaria)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UTDT</w:t>
            </w:r>
          </w:p>
        </w:tc>
        <w:tc>
          <w:p>
            <w:pPr>
              <w:pStyle w:val="Compact"/>
              <w:jc w:val="left"/>
            </w:pPr>
            <w:r>
              <w:t xml:space="preserve">ICC = 40.5</w:t>
            </w:r>
          </w:p>
        </w:tc>
        <w:tc>
          <w:p>
            <w:pPr>
              <w:pStyle w:val="Compact"/>
              <w:jc w:val="left"/>
            </w:pPr>
            <w:r>
              <w:t xml:space="preserve">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CAFAM</w:t>
            </w:r>
          </w:p>
        </w:tc>
        <w:tc>
          <w:p>
            <w:pPr>
              <w:pStyle w:val="Compact"/>
              <w:jc w:val="left"/>
            </w:pPr>
            <w:r>
              <w:t xml:space="preserve">Patentamiento motos = 51.124</w:t>
            </w:r>
          </w:p>
        </w:tc>
        <w:tc>
          <w:p>
            <w:pPr>
              <w:pStyle w:val="Compact"/>
              <w:jc w:val="left"/>
            </w:pPr>
            <w:r>
              <w:t xml:space="preserve">mayo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CICCRA</w:t>
            </w:r>
          </w:p>
        </w:tc>
        <w:tc>
          <w:p>
            <w:pPr>
              <w:pStyle w:val="Compact"/>
              <w:jc w:val="left"/>
            </w:pPr>
            <w:r>
              <w:t xml:space="preserve">Consumo carne (parsing PDF)</w:t>
            </w:r>
          </w:p>
        </w:tc>
        <w:tc>
          <w:p>
            <w:pPr>
              <w:pStyle w:val="Compact"/>
              <w:jc w:val="left"/>
            </w:pPr>
            <w:r>
              <w:t xml:space="preserve">abril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SNIC + CABA</w:t>
            </w:r>
          </w:p>
        </w:tc>
        <w:tc>
          <w:p>
            <w:pPr>
              <w:pStyle w:val="Compact"/>
              <w:jc w:val="left"/>
            </w:pPr>
            <w:r>
              <w:t xml:space="preserve">Inseguridad (2.501.057 hechos en 2024)</w:t>
            </w:r>
          </w:p>
        </w:tc>
        <w:tc>
          <w:p>
            <w:pPr>
              <w:pStyle w:val="Compact"/>
              <w:jc w:val="left"/>
            </w:pPr>
            <w:r>
              <w:t xml:space="preserve">2024 (anual)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Salud (datasets)</w:t>
            </w:r>
          </w:p>
        </w:tc>
        <w:tc>
          <w:p>
            <w:pPr>
              <w:pStyle w:val="Compact"/>
              <w:jc w:val="left"/>
            </w:pPr>
            <w:r>
              <w:t xml:space="preserve">3 datasets CKAN identificados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Trends</w:t>
            </w:r>
          </w:p>
        </w:tc>
        <w:tc>
          <w:p>
            <w:pPr>
              <w:pStyle w:val="Compact"/>
              <w:jc w:val="left"/>
            </w:pPr>
            <w:r>
              <w:t xml:space="preserve">inflación, precios, inseguridad, trabajo</w:t>
            </w:r>
          </w:p>
        </w:tc>
        <w:tc>
          <w:p>
            <w:pPr>
              <w:pStyle w:val="Compact"/>
              <w:jc w:val="left"/>
            </w:pPr>
            <w:r>
              <w:t xml:space="preserve">tiempo real</w:t>
            </w:r>
          </w:p>
        </w:tc>
      </w:tr>
    </w:tbl>
    <w:bookmarkEnd w:id="24"/>
    <w:bookmarkStart w:id="25" w:name="ejecución"/>
    <w:p>
      <w:pPr>
        <w:pStyle w:val="Heading2"/>
      </w:pPr>
      <w:r>
        <w:t xml:space="preserve">Ejecución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projects/informe_coyuntura/scripts/vida_cotidiana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El output se guarda en</w:t>
      </w:r>
      <w:r>
        <w:t xml:space="preserve"> </w:t>
      </w:r>
      <w:r>
        <w:rPr>
          <w:rStyle w:val="VerbatimChar"/>
        </w:rPr>
        <w:t xml:space="preserve">data/vida_cotidiana_YYYYMMDD_HHMM.json</w:t>
      </w:r>
      <w:r>
        <w:t xml:space="preserve">.</w:t>
      </w:r>
    </w:p>
    <w:bookmarkEnd w:id="25"/>
    <w:bookmarkStart w:id="26" w:name="observación-técnica-importante"/>
    <w:p>
      <w:pPr>
        <w:pStyle w:val="Heading2"/>
      </w:pPr>
      <w:r>
        <w:t xml:space="preserve">Observación técnica importante</w:t>
      </w:r>
    </w:p>
    <w:p>
      <w:pPr>
        <w:pStyle w:val="FirstParagraph"/>
      </w:pPr>
      <w:r>
        <w:t xml:space="preserve">El script puente</w:t>
      </w:r>
      <w:r>
        <w:t xml:space="preserve"> </w:t>
      </w:r>
      <w:r>
        <w:rPr>
          <w:rStyle w:val="VerbatimChar"/>
        </w:rPr>
        <w:t xml:space="preserve">scripts/vida_cotidiana.py</w:t>
      </w:r>
      <w:r>
        <w:t xml:space="preserve"> </w:t>
      </w:r>
      <w:r>
        <w:t xml:space="preserve">—que integra con el orquestador global del informe— solo expone tres indicadores legacy (</w:t>
      </w:r>
      <w:r>
        <w:rPr>
          <w:rStyle w:val="VerbatimChar"/>
        </w:rPr>
        <w:t xml:space="preserve">ipc_total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desocupacion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icc_utdt</w:t>
      </w:r>
      <w:r>
        <w:t xml:space="preserve">). El dashboard agregado debería migrarse a leer del output del orquestador (</w:t>
      </w:r>
      <w:r>
        <w:rPr>
          <w:rStyle w:val="VerbatimChar"/>
        </w:rPr>
        <w:t xml:space="preserve">scripts/vida_cotidiana/data/vida_cotidiana_*.json</w:t>
      </w:r>
      <w:r>
        <w:t xml:space="preserve">) para acceder a los 14 indicadores completos.</w:t>
      </w:r>
    </w:p>
    <w:bookmarkEnd w:id="26"/>
    <w:bookmarkStart w:id="29" w:name="indicador-propuesto-prioritario"/>
    <w:p>
      <w:pPr>
        <w:pStyle w:val="Heading2"/>
      </w:pPr>
      <w:r>
        <w:t xml:space="preserve">Indicador propuesto prioritario</w:t>
      </w:r>
    </w:p>
    <w:bookmarkStart w:id="28" w:name="Xeccd3180e65d6aaad3f6253b111b92a1dbd32f3"/>
    <w:p>
      <w:pPr>
        <w:pStyle w:val="Heading3"/>
      </w:pPr>
      <w:r>
        <w:rPr>
          <w:rStyle w:val="VerbatimChar"/>
        </w:rPr>
        <w:t xml:space="preserve">ingreso_disponible_real</w:t>
      </w:r>
      <w:r>
        <w:t xml:space="preserve"> </w:t>
      </w:r>
      <w:r>
        <w:t xml:space="preserve">— Salario real vs. gastos fijos del hogar</w:t>
      </w:r>
    </w:p>
    <w:p>
      <w:pPr>
        <w:pStyle w:val="FirstParagraph"/>
      </w:pPr>
      <w:r>
        <w:t xml:space="preserve">Inspiración:</w:t>
      </w:r>
      <w:r>
        <w:t xml:space="preserve"> </w:t>
      </w:r>
      <w:hyperlink r:id="rId27">
        <w:r>
          <w:rPr>
            <w:rStyle w:val="Hyperlink"/>
          </w:rPr>
          <w:t xml:space="preserve">Empiria Consultores</w:t>
        </w:r>
      </w:hyperlink>
      <w:r>
        <w:t xml:space="preserve"> </w:t>
      </w:r>
      <w:r>
        <w:t xml:space="preserve">(Hernán Lacunza). Captura el efecto tarifas post-subsidios que el IPC general oculta.</w:t>
      </w:r>
    </w:p>
    <w:p>
      <w:pPr>
        <w:pStyle w:val="BodyText"/>
      </w:pPr>
      <w:r>
        <w:t xml:space="preserve">Fórmula propuesta (completamente automatizable sin EPH):</w:t>
      </w:r>
    </w:p>
    <w:p>
      <w:pPr>
        <w:pStyle w:val="SourceCode"/>
      </w:pPr>
      <w:r>
        <w:rPr>
          <w:rStyle w:val="VerbatimChar"/>
        </w:rPr>
        <w:t xml:space="preserve">ingreso_disponible_real(t) = IS_registrado(t) / IPC_vivienda(t)</w:t>
      </w:r>
      <w:r>
        <w:br/>
      </w:r>
      <w:r>
        <w:rPr>
          <w:rStyle w:val="VerbatimChar"/>
        </w:rPr>
        <w:t xml:space="preserve">variacion_ia = (idx_t / idx_t-12 − 1) × 100</w:t>
      </w:r>
    </w:p>
    <w:p>
      <w:pPr>
        <w:pStyle w:val="FirstParagraph"/>
      </w:pPr>
      <w:r>
        <w:t xml:space="preserve">Series verificadas en datos.gob.ar: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Serie ID</w:t>
            </w:r>
          </w:p>
        </w:tc>
        <w:tc>
          <w:p>
            <w:pPr>
              <w:pStyle w:val="Compact"/>
              <w:jc w:val="left"/>
            </w:pPr>
            <w:r>
              <w:t xml:space="preserve">Última fecha disponible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IS_registrado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149.1_TL_REGIADO_OCTU_0_16</w:t>
            </w:r>
          </w:p>
        </w:tc>
        <w:tc>
          <w:p>
            <w:pPr>
              <w:pStyle w:val="Compact"/>
              <w:jc w:val="left"/>
            </w:pPr>
            <w:r>
              <w:t xml:space="preserve">enero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IPC_vivienda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146.3_IVIVIENNAL_DICI_M_52</w:t>
            </w:r>
          </w:p>
        </w:tc>
        <w:tc>
          <w:p>
            <w:pPr>
              <w:pStyle w:val="Compact"/>
              <w:jc w:val="left"/>
            </w:pPr>
            <w:r>
              <w:t xml:space="preserve">marzo 2026</w:t>
            </w:r>
          </w:p>
        </w:tc>
      </w:tr>
    </w:tbl>
    <w:p>
      <w:pPr>
        <w:pStyle w:val="BodyText"/>
      </w:pPr>
      <w:r>
        <w:t xml:space="preserve">Cálculo a mayo 2026 (enero 2026 vs. enero 2025): −8.0% interanual. El salario perdió contra los gastos fijos pese a la desinflación general (variación IS vs. IPC general fue +3.99%).</w:t>
      </w:r>
    </w:p>
    <w:p>
      <w:pPr>
        <w:pStyle w:val="BodyText"/>
      </w:pPr>
      <w:r>
        <w:t xml:space="preserve">Implementación sugerida:</w:t>
      </w:r>
      <w:r>
        <w:t xml:space="preserve"> </w:t>
      </w:r>
      <w:r>
        <w:rPr>
          <w:rStyle w:val="VerbatimChar"/>
        </w:rPr>
        <w:t xml:space="preserve">scripts/vida_cotidiana/collectors/ingreso_disponible.py</w:t>
      </w:r>
      <w:r>
        <w:t xml:space="preserve">, siguiendo el patrón de</w:t>
      </w:r>
      <w:r>
        <w:t xml:space="preserve"> </w:t>
      </w:r>
      <w:r>
        <w:rPr>
          <w:rStyle w:val="VerbatimChar"/>
        </w:rPr>
        <w:t xml:space="preserve">indec_series.py</w:t>
      </w:r>
      <w:r>
        <w:t xml:space="preserve">.</w:t>
      </w:r>
    </w:p>
    <w:p>
      <w:pPr>
        <w:pStyle w:val="BodyText"/>
      </w:pPr>
      <w:r>
        <w:t xml:space="preserve">Score propuesto: +3% i.a. equivale a 0; 0% equivale a 5; −5% equivale a 10. Fórmula:</w:t>
      </w:r>
      <w:r>
        <w:t xml:space="preserve"> </w:t>
      </w:r>
      <w:r>
        <w:rPr>
          <w:rStyle w:val="VerbatimChar"/>
        </w:rPr>
        <w:t xml:space="preserve">max(0, min(10, 5 − var_ia × 5/3))</w:t>
      </w:r>
      <w:r>
        <w:t xml:space="preserve">.</w:t>
      </w:r>
    </w:p>
    <w:bookmarkEnd w:id="28"/>
    <w:bookmarkEnd w:id="29"/>
    <w:bookmarkStart w:id="30" w:name="X08dd52c36149e24e6eab326d00648fdaf1645bc"/>
    <w:p>
      <w:pPr>
        <w:pStyle w:val="Heading2"/>
      </w:pPr>
      <w:r>
        <w:t xml:space="preserve">Fórmula de score actual (legacy, solo 3 indicadores)</w:t>
      </w:r>
    </w:p>
    <w:p>
      <w:pPr>
        <w:pStyle w:val="SourceCode"/>
      </w:pPr>
      <w:r>
        <w:rPr>
          <w:rStyle w:val="NormalTok"/>
        </w:rPr>
        <w:t xml:space="preserve">score_ipc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ipc))             </w:t>
      </w:r>
      <w:r>
        <w:rPr>
          <w:rStyle w:val="CommentTok"/>
        </w:rPr>
        <w:t xml:space="preserve"># 0% → 0, 10% → 10</w:t>
      </w:r>
      <w:r>
        <w:br/>
      </w:r>
      <w:r>
        <w:rPr>
          <w:rStyle w:val="NormalTok"/>
        </w:rPr>
        <w:t xml:space="preserve">score_desoc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desoc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0% → 0, 20% → 10</w:t>
      </w:r>
      <w:r>
        <w:br/>
      </w:r>
      <w:r>
        <w:rPr>
          <w:rStyle w:val="NormalTok"/>
        </w:rPr>
        <w:t xml:space="preserve">score_icc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icc)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60 → 0, 30 → 10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promedio(disponibles)</w:t>
      </w:r>
    </w:p>
    <w:p>
      <w:pPr>
        <w:pStyle w:val="FirstParagraph"/>
      </w:pPr>
      <w:r>
        <w:t xml:space="preserve">Umbrales: 0–3 estable, 4–6 en tensión, 7–10 tensionado.</w:t>
      </w:r>
    </w:p>
    <w:p>
      <w:pPr>
        <w:pStyle w:val="BodyText"/>
      </w:pPr>
      <w:r>
        <w:rPr>
          <w:bCs/>
          <w:b/>
        </w:rPr>
        <w:t xml:space="preserve">Pendiente:</w:t>
      </w:r>
      <w:r>
        <w:t xml:space="preserve"> </w:t>
      </w:r>
      <w:r>
        <w:t xml:space="preserve">scorer compuesto sobre los 14 indicadores del orquestador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para reemplazar el legacy.</w:t>
      </w:r>
    </w:p>
    <w:bookmarkEnd w:id="30"/>
    <w:bookmarkStart w:id="31" w:name="notas-de-mantenimiento"/>
    <w:p>
      <w:pPr>
        <w:pStyle w:val="Heading2"/>
      </w:pPr>
      <w:r>
        <w:t xml:space="preserve">Notas de mantenimiento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UTDT: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xlrd==1.2.0</w:t>
      </w:r>
      <w:r>
        <w:t xml:space="preserve"> </w:t>
      </w:r>
      <w:r>
        <w:t xml:space="preserve">(NO usar</w:t>
      </w:r>
      <w:r>
        <w:t xml:space="preserve"> </w:t>
      </w:r>
      <w:r>
        <w:rPr>
          <w:rStyle w:val="VerbatimChar"/>
        </w:rPr>
        <w:t xml:space="preserve">xlrd&gt;=2.0</w:t>
      </w:r>
      <w:r>
        <w:t xml:space="preserve"> </w:t>
      </w:r>
      <w:r>
        <w:t xml:space="preserve">que no soporta archivos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OLE2). ICC corresponde a la página 16458 (Confianza del Consumidor). No confundir con ICG = página 16457 (Confianza en el Gobierno).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CICCRA:</w:t>
      </w:r>
      <w:r>
        <w:t xml:space="preserve"> </w:t>
      </w:r>
      <w:r>
        <w:t xml:space="preserve">scraping del PDF mensual desde</w:t>
      </w:r>
      <w:r>
        <w:t xml:space="preserve"> </w:t>
      </w:r>
      <w:r>
        <w:rPr>
          <w:rStyle w:val="VerbatimChar"/>
        </w:rPr>
        <w:t xml:space="preserve">ciccra.com.ar/wp-content/uploads/YYYY/MM/</w:t>
      </w:r>
      <w:r>
        <w:t xml:space="preserve">. Si cambia la estructura del PDF, ajustar</w:t>
      </w:r>
      <w:r>
        <w:t xml:space="preserve"> </w:t>
      </w:r>
      <w:r>
        <w:rPr>
          <w:rStyle w:val="VerbatimChar"/>
        </w:rPr>
        <w:t xml:space="preserve">collectors/ciccra.py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BCRA: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verify=False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urllib3.disable_warnings()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Google Trends:</w:t>
      </w:r>
      <w:r>
        <w:t xml:space="preserve"> </w:t>
      </w:r>
      <w:r>
        <w:rPr>
          <w:rStyle w:val="VerbatimChar"/>
        </w:rPr>
        <w:t xml:space="preserve">pytrends</w:t>
      </w:r>
      <w:r>
        <w:t xml:space="preserve"> </w:t>
      </w:r>
      <w:r>
        <w:t xml:space="preserve">requiere rate limiting. Si falla con error 429, esperar y reintentar.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Salud:</w:t>
      </w:r>
      <w:r>
        <w:t xml:space="preserve"> </w:t>
      </w:r>
      <w:r>
        <w:t xml:space="preserve">el colector actual solo enumera cuántos datasets hay en CKAN; no procesa contenido. Mejora pendiente: parsear el dataset DEIS de tiempos de espera real cuando esté disponible.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empiriaconsultore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empiriaconsultore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2026-05-23T17:37:38Z</dcterms:created>
  <dcterms:modified xsi:type="dcterms:W3CDTF">2026-05-23T17:37:38Z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