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ad918b7079c15aa6ff5fe91ced0926ac75092b6"/>
    <w:p>
      <w:pPr>
        <w:pStyle w:val="Heading1"/>
      </w:pPr>
      <w:r>
        <w:t xml:space="preserve">Proyecto País — Estado de extracción de indicadores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23 de mayo de 2026</w:t>
      </w:r>
      <w:r>
        <w:t xml:space="preserve"> </w:t>
      </w:r>
      <w:r>
        <w:rPr>
          <w:bCs/>
          <w:b/>
        </w:rPr>
        <w:t xml:space="preserve">Documento base:</w:t>
      </w:r>
      <w:r>
        <w:t xml:space="preserve"> </w:t>
      </w:r>
      <w:r>
        <w:rPr>
          <w:iCs/>
          <w:i/>
        </w:rPr>
        <w:t xml:space="preserve">Proyecto País: Indicadores en trabajo</w:t>
      </w:r>
      <w:r>
        <w:t xml:space="preserve"> </w:t>
      </w:r>
      <w:r>
        <w:t xml:space="preserve">(20 de mayo de 2026)</w:t>
      </w:r>
      <w:r>
        <w:t xml:space="preserve"> </w:t>
      </w:r>
      <w:r>
        <w:rPr>
          <w:bCs/>
          <w:b/>
        </w:rPr>
        <w:t xml:space="preserve">Objeto:</w:t>
      </w:r>
      <w:r>
        <w:t xml:space="preserve"> </w:t>
      </w:r>
      <w:r>
        <w:t xml:space="preserve">documentar, para cada indicador enunciado en el documento base, su estado de implementación, la fuente real utilizada y, en los casos donde no fue posible automatizar, la razón técnica.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Cinturón</w:t>
            </w:r>
          </w:p>
        </w:tc>
        <w:tc>
          <w:p>
            <w:pPr>
              <w:pStyle w:val="Compact"/>
              <w:jc w:val="left"/>
            </w:pPr>
            <w:r>
              <w:t xml:space="preserve">Indicadores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Automáticos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Vida Cotidiana</w:t>
            </w:r>
          </w:p>
        </w:tc>
        <w:tc>
          <w:p>
            <w:pPr>
              <w:pStyle w:val="Compact"/>
              <w:jc w:val="left"/>
            </w:pPr>
            <w:r>
              <w:t xml:space="preserve">14 + 1 manual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Macroeconomía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</w:tbl>
    <w:p>
      <w:pPr>
        <w:pStyle w:val="BodyText"/>
      </w:pPr>
      <w:r>
        <w:t xml:space="preserve">Cobertura efectiva: 40 de 47 indicadores producen datos (35 automáticos + 5 con carga manual periódica). Los 7 restantes se documentan al pie de cada cinturón con la razón técnica de la limitación.</w:t>
      </w:r>
    </w:p>
    <w:p>
      <w:pPr>
        <w:pStyle w:val="BodyText"/>
      </w:pPr>
      <w:r>
        <w:t xml:space="preserve">Adicionalmente, se incorporaron 5 indicadores no listados en el documento base pero relevantes para la lectura de coyuntura: brecha LLA−PJ del Votómetro, sesiones fracasadas por falta de quórum, comisiones caídas post-dictamen, patentamiento de motos, y brecha CCL/oficial.</w:t>
      </w:r>
    </w:p>
    <w:p>
      <w:r>
        <w:pict>
          <v:rect style="width:0;height:1.5pt" o:hralign="center" o:hrstd="t" o:hr="t"/>
        </w:pict>
      </w:r>
    </w:p>
    <w:bookmarkEnd w:id="20"/>
    <w:bookmarkStart w:id="25" w:name="cinturón-de-la-vida-cotidiana"/>
    <w:p>
      <w:pPr>
        <w:pStyle w:val="Heading2"/>
      </w:pPr>
      <w:r>
        <w:t xml:space="preserve">1. Cinturón de la Vida Cotidiana</w:t>
      </w:r>
    </w:p>
    <w:p>
      <w:pPr>
        <w:pStyle w:val="FirstParagraph"/>
      </w:pPr>
      <w:r>
        <w:t xml:space="preserve">Orquestador:</w:t>
      </w:r>
      <w:r>
        <w:t xml:space="preserve"> </w:t>
      </w:r>
      <w:r>
        <w:rPr>
          <w:rStyle w:val="VerbatimChar"/>
        </w:rPr>
        <w:t xml:space="preserve">scripts/vida_cotidiana/main.py</w:t>
      </w:r>
      <w:r>
        <w:t xml:space="preserve">. Ocho fuentes activas, aproximadamente 32 datapoints por ejecución. Última corrida: 23 de mayo de 2026, todas las fuentes operativas.</w:t>
      </w:r>
    </w:p>
    <w:bookmarkStart w:id="21" w:name="indicadores-activos"/>
    <w:p>
      <w:pPr>
        <w:pStyle w:val="Heading3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 / proxy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Último dato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salario real vs. CBT</w:t>
            </w:r>
          </w:p>
        </w:tc>
        <w:tc>
          <w:p>
            <w:pPr>
              <w:pStyle w:val="Compact"/>
              <w:jc w:val="left"/>
            </w:pPr>
            <w:r>
              <w:t xml:space="preserve">INDEC, RIPTE + CBT (datos.gob.ar)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3.82 canastas,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alimentos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146.3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+3.35% m/m,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Endeudamiento familiar</w:t>
            </w:r>
          </w:p>
        </w:tc>
        <w:tc>
          <w:p>
            <w:pPr>
              <w:pStyle w:val="Compact"/>
              <w:jc w:val="left"/>
            </w:pPr>
            <w:r>
              <w:t xml:space="preserve">BCRA API v4.0 (tarjeta, personales, hipotecarios, consumo)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$129.334 millones, 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de tarifas</w:t>
            </w:r>
          </w:p>
        </w:tc>
        <w:tc>
          <w:p>
            <w:pPr>
              <w:pStyle w:val="Compact"/>
              <w:jc w:val="left"/>
            </w:pPr>
            <w:r>
              <w:t xml:space="preserve">INDEC, IPC vivienda + IPC regulados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+3.71% / +5.08%,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 de carne vacuna</w:t>
            </w:r>
          </w:p>
        </w:tc>
        <w:tc>
          <w:p>
            <w:pPr>
              <w:pStyle w:val="Compact"/>
              <w:jc w:val="left"/>
            </w:pPr>
            <w:r>
              <w:t xml:space="preserve">CICCRA, parsing de PDF mensual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abril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laboral</w:t>
            </w:r>
          </w:p>
        </w:tc>
        <w:tc>
          <w:p>
            <w:pPr>
              <w:pStyle w:val="Compact"/>
              <w:jc w:val="left"/>
            </w:pPr>
            <w:r>
              <w:t xml:space="preserve">INDEC, asalariados sin descuento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36.75%, enero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Mortalidad de PyMEs</w:t>
            </w:r>
          </w:p>
        </w:tc>
        <w:tc>
          <w:p>
            <w:pPr>
              <w:pStyle w:val="Compact"/>
              <w:jc w:val="left"/>
            </w:pPr>
            <w:r>
              <w:t xml:space="preserve">INDEC, IPI manufacturero + EMAE (proxy)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febrero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Despacho de cemento e hierro</w:t>
            </w:r>
          </w:p>
        </w:tc>
        <w:tc>
          <w:p>
            <w:pPr>
              <w:pStyle w:val="Compact"/>
              <w:jc w:val="left"/>
            </w:pPr>
            <w:r>
              <w:t xml:space="preserve">INDEC, ISAC + acero crudo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143.5 / 731.6, febrero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Pluriempleo</w:t>
            </w:r>
          </w:p>
        </w:tc>
        <w:tc>
          <w:p>
            <w:pPr>
              <w:pStyle w:val="Compact"/>
              <w:jc w:val="left"/>
            </w:pPr>
            <w:r>
              <w:t xml:space="preserve">INDEC EPH, subocupación demandante (proxy)</w:t>
            </w:r>
          </w:p>
        </w:tc>
        <w:tc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7.8%, octubre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Inseguridad urbana</w:t>
            </w:r>
          </w:p>
        </w:tc>
        <w:tc>
          <w:p>
            <w:pPr>
              <w:pStyle w:val="Compact"/>
              <w:jc w:val="left"/>
            </w:pPr>
            <w:r>
              <w:t xml:space="preserve">SNIC + datos abiertos CABA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2.501.057 hechos, 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 Confianza del Consumidor</w:t>
            </w:r>
          </w:p>
        </w:tc>
        <w:tc>
          <w:p>
            <w:pPr>
              <w:pStyle w:val="Compact"/>
              <w:jc w:val="left"/>
            </w:pPr>
            <w:r>
              <w:t xml:space="preserve">UTDT, scraping XLS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40.5, 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Sentimiento digital</w:t>
            </w:r>
          </w:p>
        </w:tc>
        <w:tc>
          <w:p>
            <w:pPr>
              <w:pStyle w:val="Compact"/>
              <w:jc w:val="left"/>
            </w:pPr>
            <w:r>
              <w:t xml:space="preserve">Google Trends vía pytrends (4 términos)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inflación 1.8, precios 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Apatía electoral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 (implementado en cinturón Política como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+13.3 pp LLA−PJ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Espera en salud pública</w:t>
            </w:r>
          </w:p>
        </w:tc>
        <w:tc>
          <w:p>
            <w:pPr>
              <w:pStyle w:val="Compact"/>
              <w:jc w:val="left"/>
            </w:pPr>
            <w:r>
              <w:t xml:space="preserve">DEIS / CKAN (solo enumera datasets disponibles)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Automático parcial</w:t>
            </w:r>
          </w:p>
        </w:tc>
        <w:tc>
          <w:p>
            <w:pPr>
              <w:pStyle w:val="Compact"/>
              <w:jc w:val="left"/>
            </w:pPr>
            <w:r>
              <w:t xml:space="preserve">3 datasets identificados</w:t>
            </w:r>
          </w:p>
        </w:tc>
      </w:tr>
    </w:tbl>
    <w:bookmarkEnd w:id="21"/>
    <w:bookmarkStart w:id="22" w:name="indicador-de-carga-manual"/>
    <w:p>
      <w:pPr>
        <w:pStyle w:val="Heading3"/>
      </w:pPr>
      <w:r>
        <w:t xml:space="preserve">Indicador de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 de 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Deserción escolar</w:t>
            </w:r>
          </w:p>
        </w:tc>
        <w:tc>
          <w:p>
            <w:pPr>
              <w:pStyle w:val="Compact"/>
              <w:jc w:val="left"/>
            </w:pPr>
            <w:r>
              <w:t xml:space="preserve">Sin serie mensual disponible. Ministerio de Educación publica datos con rezago anual; carga manual en cada actualización ministerial.</w:t>
            </w:r>
          </w:p>
        </w:tc>
      </w:tr>
    </w:tbl>
    <w:bookmarkEnd w:id="22"/>
    <w:bookmarkStart w:id="23" w:name="indicador-adicional-implementado"/>
    <w:p>
      <w:pPr>
        <w:pStyle w:val="Heading3"/>
      </w:pPr>
      <w:r>
        <w:t xml:space="preserve">Indicador adicional implementado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Patentamiento de motos</w:t>
            </w:r>
          </w:p>
        </w:tc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Proxy de consumo discrecional. 51.124 unidades en mayo 2026.</w:t>
            </w:r>
          </w:p>
        </w:tc>
      </w:tr>
    </w:tbl>
    <w:bookmarkEnd w:id="23"/>
    <w:bookmarkStart w:id="24" w:name="observación-técnica"/>
    <w:p>
      <w:pPr>
        <w:pStyle w:val="Heading3"/>
      </w:pPr>
      <w:r>
        <w:t xml:space="preserve">Observación técnica</w:t>
      </w:r>
    </w:p>
    <w:p>
      <w:pPr>
        <w:pStyle w:val="FirstParagraph"/>
      </w:pPr>
      <w:r>
        <w:t xml:space="preserve">El script puente</w:t>
      </w:r>
      <w:r>
        <w:t xml:space="preserve"> </w:t>
      </w:r>
      <w:r>
        <w:rPr>
          <w:rStyle w:val="VerbatimChar"/>
        </w:rPr>
        <w:t xml:space="preserve">scripts/vida_cotidiana.py</w:t>
      </w:r>
      <w:r>
        <w:t xml:space="preserve"> </w:t>
      </w:r>
      <w:r>
        <w:t xml:space="preserve">—que integra con el orquestador global del informe— solo expone tres indicadores legacy (</w:t>
      </w:r>
      <w:r>
        <w:rPr>
          <w:rStyle w:val="VerbatimChar"/>
        </w:rPr>
        <w:t xml:space="preserve">ipc_total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desocupacion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). El dashboard agregado del informe debe migrarse a leer del output</w:t>
      </w:r>
      <w:r>
        <w:t xml:space="preserve"> </w:t>
      </w:r>
      <w:r>
        <w:rPr>
          <w:rStyle w:val="VerbatimChar"/>
        </w:rPr>
        <w:t xml:space="preserve">scripts/vida_cotidiana/data/vida_cotidiana_*.json</w:t>
      </w:r>
      <w:r>
        <w:t xml:space="preserve"> </w:t>
      </w:r>
      <w:r>
        <w:t xml:space="preserve">para acceder a los 14 indicadores.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inturón-de-la-macroeconomía"/>
    <w:p>
      <w:pPr>
        <w:pStyle w:val="Heading2"/>
      </w:pPr>
      <w:r>
        <w:t xml:space="preserve">2. Cinturón de la Macroeconomía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scripts/macro.py</w:t>
      </w:r>
      <w:r>
        <w:t xml:space="preserve">. Once de once indicadores activos. Score actual: 2.1 (estable). Última corrida: 23 de mayo de 2026, todos los indicadores frescos.</w:t>
      </w:r>
    </w:p>
    <w:bookmarkStart w:id="26" w:name="indicadores-activos-1"/>
    <w:p>
      <w:pPr>
        <w:pStyle w:val="Heading3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Último 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total</w:t>
            </w:r>
          </w:p>
        </w:tc>
        <w:tc>
          <w:p>
            <w:pPr>
              <w:pStyle w:val="Compact"/>
              <w:jc w:val="left"/>
            </w:pPr>
            <w:r>
              <w:t xml:space="preserve">Inflación mensual nacional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148.3</w:t>
            </w:r>
          </w:p>
        </w:tc>
        <w:tc>
          <w:p>
            <w:pPr>
              <w:pStyle w:val="Compact"/>
              <w:jc w:val="left"/>
            </w:pPr>
            <w:r>
              <w:t xml:space="preserve">3.38% m/m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Reservas BCRA</w:t>
            </w:r>
          </w:p>
        </w:tc>
        <w:tc>
          <w:p>
            <w:pPr>
              <w:pStyle w:val="Compact"/>
              <w:jc w:val="left"/>
            </w:pPr>
            <w:r>
              <w:t xml:space="preserve">Reservas internacionales brutas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1</w:t>
            </w:r>
          </w:p>
        </w:tc>
        <w:tc>
          <w:p>
            <w:pPr>
              <w:pStyle w:val="Compact"/>
              <w:jc w:val="left"/>
            </w:pPr>
            <w:r>
              <w:t xml:space="preserve">46.585 millones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BADLAR</w:t>
            </w:r>
          </w:p>
        </w:tc>
        <w:tc>
          <w:p>
            <w:pPr>
              <w:pStyle w:val="Compact"/>
              <w:jc w:val="left"/>
            </w:pPr>
            <w:r>
              <w:t xml:space="preserve">Costo del dinero para depósitos mayoristas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7</w:t>
            </w:r>
          </w:p>
        </w:tc>
        <w:tc>
          <w:p>
            <w:pPr>
              <w:pStyle w:val="Compact"/>
              <w:jc w:val="left"/>
            </w:pPr>
            <w:r>
              <w:t xml:space="preserve">22.0% 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EMAE (variación interanual)</w:t>
            </w:r>
          </w:p>
        </w:tc>
        <w:tc>
          <w:p>
            <w:pPr>
              <w:pStyle w:val="Compact"/>
              <w:jc w:val="left"/>
            </w:pPr>
            <w:r>
              <w:t xml:space="preserve">Actividad económica adelantada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143.3</w:t>
            </w:r>
          </w:p>
        </w:tc>
        <w:tc>
          <w:p>
            <w:pPr>
              <w:pStyle w:val="Compact"/>
              <w:jc w:val="left"/>
            </w:pPr>
            <w:r>
              <w:t xml:space="preserve">+1.88% i.a.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Saldo comercial 12 meses</w:t>
            </w:r>
          </w:p>
        </w:tc>
        <w:tc>
          <w:p>
            <w:pPr>
              <w:pStyle w:val="Compact"/>
              <w:jc w:val="left"/>
            </w:pPr>
            <w:r>
              <w:t xml:space="preserve">Balance exportaciones-importaciones acumulado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164.3</w:t>
            </w:r>
          </w:p>
        </w:tc>
        <w:tc>
          <w:p>
            <w:pPr>
              <w:pStyle w:val="Compact"/>
              <w:jc w:val="left"/>
            </w:pPr>
            <w:r>
              <w:t xml:space="preserve">+17.125 millones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Recaudación tributaria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recaudación total</w:t>
            </w:r>
          </w:p>
        </w:tc>
        <w:tc>
          <w:p>
            <w:pPr>
              <w:pStyle w:val="Compact"/>
              <w:jc w:val="left"/>
            </w:pPr>
            <w:r>
              <w:t xml:space="preserve">INDEC/AFIP, serie 172.3</w:t>
            </w:r>
          </w:p>
        </w:tc>
        <w:tc>
          <w:p>
            <w:pPr>
              <w:pStyle w:val="Compact"/>
              <w:jc w:val="left"/>
            </w:pPr>
            <w:r>
              <w:t xml:space="preserve">−0.99%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TCRM</w:t>
            </w:r>
          </w:p>
        </w:tc>
        <w:tc>
          <w:p>
            <w:pPr>
              <w:pStyle w:val="Compact"/>
              <w:jc w:val="left"/>
            </w:pPr>
            <w:r>
              <w:t xml:space="preserve">Tipo de cambio real multilateral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116.3 (base 2010=100)</w:t>
            </w:r>
          </w:p>
        </w:tc>
        <w:tc>
          <w:p>
            <w:pPr>
              <w:pStyle w:val="Compact"/>
              <w:jc w:val="left"/>
            </w:pPr>
            <w:r>
              <w:t xml:space="preserve">79.77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Expectativas inflación (REM)</w:t>
            </w:r>
          </w:p>
        </w:tc>
        <w:tc>
          <w:p>
            <w:pPr>
              <w:pStyle w:val="Compact"/>
              <w:jc w:val="left"/>
            </w:pPr>
            <w:r>
              <w:t xml:space="preserve">Proyección del mercado a 12 meses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29</w:t>
            </w:r>
          </w:p>
        </w:tc>
        <w:tc>
          <w:p>
            <w:pPr>
              <w:pStyle w:val="Compact"/>
              <w:jc w:val="left"/>
            </w:pPr>
            <w:r>
              <w:t xml:space="preserve">24.2% 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Préstamos privados</w:t>
            </w:r>
          </w:p>
        </w:tc>
        <w:tc>
          <w:p>
            <w:pPr>
              <w:pStyle w:val="Compact"/>
              <w:jc w:val="left"/>
            </w:pPr>
            <w:r>
              <w:t xml:space="preserve">Variación crédito bancario al sector privado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26</w:t>
            </w:r>
          </w:p>
        </w:tc>
        <w:tc>
          <w:p>
            <w:pPr>
              <w:pStyle w:val="Compact"/>
              <w:jc w:val="left"/>
            </w:pPr>
            <w:r>
              <w:t xml:space="preserve">+2.13%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monetaria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billetes + reservas bancarias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15</w:t>
            </w:r>
          </w:p>
        </w:tc>
        <w:tc>
          <w:p>
            <w:pPr>
              <w:pStyle w:val="Compact"/>
              <w:jc w:val="left"/>
            </w:pPr>
            <w:r>
              <w:t xml:space="preserve">+0.7%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de cambio mayorista</w:t>
            </w:r>
          </w:p>
        </w:tc>
        <w:tc>
          <w:p>
            <w:pPr>
              <w:pStyle w:val="Compact"/>
              <w:jc w:val="left"/>
            </w:pPr>
            <w:r>
              <w:t xml:space="preserve">Variación tipo de cambio oficial referencia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5</w:t>
            </w:r>
          </w:p>
        </w:tc>
        <w:tc>
          <w:p>
            <w:pPr>
              <w:pStyle w:val="Compact"/>
              <w:jc w:val="left"/>
            </w:pPr>
            <w:r>
              <w:t xml:space="preserve">−0.27% var. m</w:t>
            </w:r>
          </w:p>
        </w:tc>
      </w:tr>
    </w:tbl>
    <w:bookmarkEnd w:id="26"/>
    <w:bookmarkStart w:id="27" w:name="Xd689e327162bbd1f084f808c32229ea1f0208f7"/>
    <w:p>
      <w:pPr>
        <w:pStyle w:val="Heading3"/>
      </w:pPr>
      <w:r>
        <w:t xml:space="preserve">Indicadores no implementados del documento base</w:t>
      </w:r>
    </w:p>
    <w:p>
      <w:pPr>
        <w:pStyle w:val="FirstParagraph"/>
      </w:pPr>
      <w:r>
        <w:t xml:space="preserve">El documento base listó 8 indicadores adicionales bajo</w:t>
      </w:r>
      <w:r>
        <w:t xml:space="preserve"> </w:t>
      </w:r>
      <w:r>
        <w:t xml:space="preserve">“</w:t>
      </w:r>
      <w:r>
        <w:t xml:space="preserve">Perspectiva Matusiana en diseño</w:t>
      </w:r>
      <w:r>
        <w:t xml:space="preserve">”</w:t>
      </w:r>
      <w:r>
        <w:t xml:space="preserve">. Estado actual: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desempleo / subocupación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Ya se extrae en cinturón Vida Cotidiana (EPH INDEC). Pendiente: exponerlo también en Macro.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Pobreza por ingresos (proxy)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Construible con CBT, CBA y RIPTE, todos ya extraídos en Vida Cotidiana.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cambiaria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Ya implementado como</w:t>
            </w:r>
            <w:r>
              <w:t xml:space="preserve"> </w:t>
            </w:r>
            <w:r>
              <w:rPr>
                <w:rStyle w:val="VerbatimChar"/>
              </w:rPr>
              <w:t xml:space="preserve">cepo_mulc</w:t>
            </w:r>
            <w:r>
              <w:t xml:space="preserve"> </w:t>
            </w:r>
            <w:r>
              <w:t xml:space="preserve">en Gestión (brecha CCL/oficial, dolarapi.com).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Resultado fiscal financiero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Ministerio de Economía, informe mensual de ejecución presupuestaria (PDF). Requiere parser de PDF.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Riesgo país (EMBI+)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serie EMBI+ Argentina vía datos.gob.ar o scraping de Ámbito Financiero.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Deuda pública bruta / PBI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Ministerio de Economía, Oficina de Crédito Público (publicación trimestral).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Utilización de capacidad instalada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INDEC, serie UCI mensual. Pendiente identificación de serie en datos.gob.ar.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bruta de capital fijo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INDEC Cuentas Nacionales trimestrales.</w:t>
            </w:r>
          </w:p>
        </w:tc>
      </w:tr>
    </w:tbl>
    <w:p>
      <w:pPr>
        <w:pStyle w:val="BodyText"/>
      </w:pPr>
      <w:r>
        <w:t xml:space="preserve">Las 5 incorporaciones pendientes son técnicamente viables. Las 3 disponibles requieren únicamente exponerlas en el output de macro.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inturón-de-la-política"/>
    <w:p>
      <w:pPr>
        <w:pStyle w:val="Heading2"/>
      </w:pPr>
      <w:r>
        <w:t xml:space="preserve">3. Cinturón de la Política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scripts/politica.py</w:t>
      </w:r>
      <w:r>
        <w:t xml:space="preserve">. Siete indicadores automáticos y dos con carga manual. Score actual: 4.7 (en tensión). Última corrida: 23 de mayo de 2026, 8 de 9 indicadores frescos (CEPA cayó por error 404 en URL del informe).</w:t>
      </w:r>
    </w:p>
    <w:bookmarkStart w:id="29" w:name="X3302e7574b1a5550df56d0fd4c68ed4d50a9608"/>
    <w:p>
      <w:pPr>
        <w:pStyle w:val="Heading3"/>
      </w:pPr>
      <w:r>
        <w:t xml:space="preserve">Mapeo de los 10 indicadores propuestos en el documento 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Eficacia Parlamentaria (TEP)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eficacia_legislativa</w:t>
            </w:r>
            <w:r>
              <w:t xml:space="preserve">. Fuente: datos.hcdn.gob.ar (CKAN, proyectos PE vs. sanciones, ventana 12 meses). Valor: 4.8% (1 de 21 proyectos).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 DNU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ratio_dnu</w:t>
            </w:r>
            <w:r>
              <w:t xml:space="preserve">. Fuente: InfoLeg, sesión POST con conteo de DNUs y leyes del año corriente. Valor: 3.14 (22 DNU / 7 leyes).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 de Armonía Federal (IAF)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iaf_transferencias</w:t>
            </w:r>
            <w:r>
              <w:t xml:space="preserve">. Fuente: Hacienda, CSV serie RON. Mide variación real interanual de transferencias federales. Valor: +1.8%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 de Tensión Social (ITS)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movilizacion_cepa</w:t>
            </w:r>
            <w:r>
              <w:t xml:space="preserve">. Fuente: scraping de informes de centrocepa.com.ar. Valor: 46.0.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Judicialización de la Gestión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No existe fuente estructurada de medidas cautelares contra el Ejecutivo. CSJN no publica dataset abierto; juzgados federales requieren scraping caso por caso. Requiere desarrollo separado de scraper jurisprudencial.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de Agenda (vida media de crisis vía Google Trends)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pytrends, ya utilizada en cinturón Vida Cotidiana. Requiere definir lista de eventos a trackear y ventana de medición.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Compromiso RIGI/RIMI provincial-sindical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Requiere parseo cualitativo de declaraciones provinciales y sindicales sin formato común. No hay registro oficial de adhesiones.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Impacto del Clima Internacional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Construible con calendario electoral regional + variación de spreads soberanos (EMBI Latam). Requiere diseño metodológico.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Tensión Estructural Discursiva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Requiere NLP sobre redes sociales de diputados. Fuera del alcance del proyecto.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Independencia del Banco Central</w:t>
            </w:r>
          </w:p>
        </w:tc>
        <w:tc>
          <w:p>
            <w:pPr>
              <w:pStyle w:val="Compact"/>
              <w:jc w:val="left"/>
            </w:pPr>
            <w:r>
              <w:t xml:space="preserve">No aplica</w:t>
            </w:r>
          </w:p>
        </w:tc>
        <w:tc>
          <w:p>
            <w:pPr>
              <w:pStyle w:val="Compact"/>
              <w:jc w:val="left"/>
            </w:pPr>
            <w:r>
              <w:t xml:space="preserve">Indicador cualitativo sin proxy cuantitativo objetivo.</w:t>
            </w:r>
          </w:p>
        </w:tc>
      </w:tr>
    </w:tbl>
    <w:bookmarkEnd w:id="29"/>
    <w:bookmarkStart w:id="30" w:name="indicadores-adicionales-implementados"/>
    <w:p>
      <w:pPr>
        <w:pStyle w:val="Heading3"/>
      </w:pPr>
      <w:r>
        <w:t xml:space="preserve">Indicadores adicionales implementados</w:t>
      </w:r>
    </w:p>
    <w:p>
      <w:pPr>
        <w:pStyle w:val="FirstParagraph"/>
      </w:pPr>
      <w:r>
        <w:t xml:space="preserve">Se agregaron tres indicadores no listados en el documento base que refuerzan la dimensión legislativa del cinturón: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CIGOB, parsing del HTML</w:t>
            </w:r>
          </w:p>
        </w:tc>
        <w:tc>
          <w:p>
            <w:pPr>
              <w:pStyle w:val="Compact"/>
              <w:jc w:val="left"/>
            </w:pPr>
            <w:r>
              <w:t xml:space="preserve">+13.3 pp (LLA 41.8 / PJ 28.5, n=11 encuestas)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veto_quorum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(CKAN,</w:t>
            </w:r>
            <w:r>
              <w:t xml:space="preserve"> </w:t>
            </w:r>
            <w:r>
              <w:rPr>
                <w:rStyle w:val="VerbatimChar"/>
              </w:rPr>
              <w:t xml:space="preserve">REUNION_TIPO</w:t>
            </w:r>
            <w:r>
              <w:t xml:space="preserve"> </w:t>
            </w:r>
            <w:r>
              <w:t xml:space="preserve">con substring</w:t>
            </w:r>
            <w:r>
              <w:t xml:space="preserve"> </w:t>
            </w:r>
            <w:r>
              <w:t xml:space="preserve">“</w:t>
            </w:r>
            <w:r>
              <w:t xml:space="preserve">Fracasada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0.0% (0 de 2 sesiones período 144)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comisiones_caidas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(CKAN, dictámenes OD vs. sanciones)</w:t>
            </w:r>
          </w:p>
        </w:tc>
        <w:tc>
          <w:p>
            <w:pPr>
              <w:pStyle w:val="Compact"/>
              <w:jc w:val="left"/>
            </w:pPr>
            <w:r>
              <w:t xml:space="preserve">99.6% (519 de 521 sin sanción)</w:t>
            </w:r>
          </w:p>
        </w:tc>
      </w:tr>
    </w:tbl>
    <w:bookmarkEnd w:id="30"/>
    <w:bookmarkStart w:id="31" w:name="indicadores-con-carga-manual"/>
    <w:p>
      <w:pPr>
        <w:pStyle w:val="Heading3"/>
      </w:pPr>
      <w:r>
        <w:t xml:space="preserve">Indicadores con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cohesion_bloque</w:t>
            </w:r>
          </w:p>
        </w:tc>
        <w:tc>
          <w:p>
            <w:pPr>
              <w:pStyle w:val="Compact"/>
              <w:jc w:val="left"/>
            </w:pPr>
            <w:r>
              <w:t xml:space="preserve">Las votaciones nominales en CKAN HCDN están congeladas en el período 137 (2019). La composición actual del bloque LLA (95 diputados) está disponible pero sin</w:t>
            </w:r>
            <w:r>
              <w:t xml:space="preserve"> </w:t>
            </w:r>
            <w:r>
              <w:rPr>
                <w:rStyle w:val="VerbatimChar"/>
              </w:rPr>
              <w:t xml:space="preserve">PERSONA_ID</w:t>
            </w:r>
            <w:r>
              <w:t xml:space="preserve"> </w:t>
            </w:r>
            <w:r>
              <w:t xml:space="preserve">que mapee a votos históricos. Requeriría headless browser sobre hcdn.gob.ar/votaciones o acuerdo institucional con HCDN.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gobernadores_alineamiento</w:t>
            </w:r>
          </w:p>
        </w:tc>
        <w:tc>
          <w:p>
            <w:pPr>
              <w:pStyle w:val="Compact"/>
              <w:jc w:val="left"/>
            </w:pPr>
            <w:r>
              <w:t xml:space="preserve">Sin fuente pública estructurada. Construible con NLP sobre cobertura periodística (La Nación Data, Infobae) pero requiere proyecto separado.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cinturón-de-gestión"/>
    <w:p>
      <w:pPr>
        <w:pStyle w:val="Heading2"/>
      </w:pPr>
      <w:r>
        <w:t xml:space="preserve">4. Cinturón de Gestión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scripts/gestion.py</w:t>
      </w:r>
      <w:r>
        <w:t xml:space="preserve">. Doce de doce indicadores con dato (6 automáticos + 4 carga manual + 2 sin fuente). Score actual: 5.9 (en tensión). Última corrida: 23 de mayo de 2026, automáticos frescos 6 de 6.</w:t>
      </w:r>
    </w:p>
    <w:bookmarkStart w:id="33" w:name="X8cceaab718de203f52273476d04098b6dd7f1dc"/>
    <w:p>
      <w:pPr>
        <w:pStyle w:val="Heading3"/>
      </w:pPr>
      <w:r>
        <w:t xml:space="preserve">Mapeo de los 12 indicadores del documento 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Eje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Avance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Desmantelamiento del cepo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cepo_mulc</w:t>
            </w:r>
          </w:p>
        </w:tc>
        <w:tc>
          <w:p>
            <w:pPr>
              <w:pStyle w:val="Compact"/>
              <w:jc w:val="left"/>
            </w:pPr>
            <w:r>
              <w:t xml:space="preserve">dolarapi.com, brecha CCL/oficial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78.4% (brecha 4.32%)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Reducción del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reduccion_estado</w:t>
            </w:r>
          </w:p>
        </w:tc>
        <w:tc>
          <w:p>
            <w:pPr>
              <w:pStyle w:val="Compact"/>
              <w:jc w:val="left"/>
            </w:pPr>
            <w:r>
              <w:t xml:space="preserve">datos.gob.ar, serie 324.1 (puestos de trabajo sector público)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2.7% (variación −0.8%)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Reestructuración de organismos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reestructuracion_organismos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texto="disolucion"</w:t>
            </w:r>
            <w:r>
              <w:t xml:space="preserve"> </w:t>
            </w:r>
            <w:r>
              <w:t xml:space="preserve">desde diciembre 2023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40.0% (18 normas)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Inversiones (RIGI / Super RIGI)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rigi_inversiones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texto="VPU"</w:t>
            </w:r>
            <w:r>
              <w:t xml:space="preserve"> </w:t>
            </w:r>
            <w:r>
              <w:t xml:space="preserve">desde julio 2024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28.0% (28 resoluciones VPU)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Desregulación normativa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desregulacion_normativa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texto="deroga"</w:t>
            </w:r>
            <w:r>
              <w:t xml:space="preserve"> </w:t>
            </w:r>
            <w:r>
              <w:t xml:space="preserve">desde diciembre 2023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55.0% (55 normas)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Apertura comercial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apertura_comercial</w:t>
            </w:r>
          </w:p>
        </w:tc>
        <w:tc>
          <w:p>
            <w:pPr>
              <w:pStyle w:val="Compact"/>
              <w:jc w:val="left"/>
            </w:pPr>
            <w:r>
              <w:t xml:space="preserve">datos.gob.ar, serie 163.3 (importaciones totales, proxy)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100.0% (+42.4% i.a.)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Concesiones de infraestructura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concesiones_infraestructura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Asistencia directa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asistencia_directa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Modernización laboral (FAL)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fal_modernizacion_laboral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10% (FAL entra en operación H2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Protocolo antipiquetes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protocolo_antipiquetes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Privatizaciones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privatizaciones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Libertad de opción en salud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libertad_opcion_salud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33"/>
    <w:bookmarkStart w:id="34" w:name="cálculo-del-avance"/>
    <w:p>
      <w:pPr>
        <w:pStyle w:val="Heading3"/>
      </w:pPr>
      <w:r>
        <w:t xml:space="preserve">Cálculo del avance</w:t>
      </w:r>
    </w:p>
    <w:p>
      <w:pPr>
        <w:pStyle w:val="FirstParagraph"/>
      </w:pPr>
      <w:r>
        <w:t xml:space="preserve">Cada indicador expresa un porcentaje 0–100 que representa el grado de ejecución de la reforma. La conversión a score de tensión es</w:t>
      </w:r>
      <w:r>
        <w:t xml:space="preserve"> </w:t>
      </w:r>
      <w:r>
        <w:rPr>
          <w:rStyle w:val="VerbatimChar"/>
        </w:rPr>
        <w:t xml:space="preserve">score = 10 × (1 − avance/100)</w:t>
      </w:r>
      <w:r>
        <w:t xml:space="preserve">: a mayor avance, menor tensión. El score del cinturón es el promedio de los doce.</w:t>
      </w:r>
    </w:p>
    <w:bookmarkEnd w:id="34"/>
    <w:bookmarkStart w:id="35" w:name="resolución-del-bloqueo-del-rigi"/>
    <w:p>
      <w:pPr>
        <w:pStyle w:val="Heading3"/>
      </w:pPr>
      <w:r>
        <w:t xml:space="preserve">Resolución del bloqueo del RIGI</w:t>
      </w:r>
    </w:p>
    <w:p>
      <w:pPr>
        <w:pStyle w:val="FirstParagraph"/>
      </w:pPr>
      <w:r>
        <w:t xml:space="preserve">El indicador RIGI se desbloqueó en esta versión del documento. La investigación recorrió las siguientes vías: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oficial argentina.gob.ar/economia/industria/rigi</w:t>
            </w:r>
          </w:p>
        </w:tc>
        <w:tc>
          <w:p>
            <w:pPr>
              <w:pStyle w:val="Compact"/>
              <w:jc w:val="left"/>
            </w:pPr>
            <w:r>
              <w:t xml:space="preserve">Devuelve 404. URL cambió sin redirección.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Datasets RIGI en CKAN datos.gob.ar</w:t>
            </w:r>
          </w:p>
        </w:tc>
        <w:tc>
          <w:p>
            <w:pPr>
              <w:pStyle w:val="Compact"/>
              <w:jc w:val="left"/>
            </w:pPr>
            <w:r>
              <w:t xml:space="preserve">Cero packages.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Wikipedia</w:t>
            </w:r>
            <w:r>
              <w:t xml:space="preserve"> </w:t>
            </w:r>
            <w:r>
              <w:t xml:space="preserve">“</w:t>
            </w:r>
            <w:r>
              <w:t xml:space="preserve">Régimen de Incentivo para Grandes Inversiones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Página existe pero última edición de octubre 2025, desactualizada.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JSON Boletín Oficial</w:t>
            </w:r>
          </w:p>
        </w:tc>
        <w:tc>
          <w:p>
            <w:pPr>
              <w:pStyle w:val="Compact"/>
              <w:jc w:val="left"/>
            </w:pPr>
            <w:r>
              <w:t xml:space="preserve">Endpoints retornan HTML, no JSON parseable.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ComprAR (pliegos de compras del Estado)</w:t>
            </w:r>
          </w:p>
        </w:tc>
        <w:tc>
          <w:p>
            <w:pPr>
              <w:pStyle w:val="Compact"/>
              <w:jc w:val="left"/>
            </w:pPr>
            <w:r>
              <w:t xml:space="preserve">ASP.NET con</w:t>
            </w:r>
            <w:r>
              <w:t xml:space="preserve"> </w:t>
            </w:r>
            <w:r>
              <w:rPr>
                <w:rStyle w:val="VerbatimChar"/>
              </w:rPr>
              <w:t xml:space="preserve">__VIEWSTATE</w:t>
            </w:r>
            <w:r>
              <w:t xml:space="preserve">, scraping frágil.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texto="RIGI"</w:t>
            </w:r>
            <w:r>
              <w:t xml:space="preserve"> </w:t>
            </w:r>
            <w:r>
              <w:t xml:space="preserve">(cualquier tipo de norma)</w:t>
            </w:r>
          </w:p>
        </w:tc>
        <w:tc>
          <w:p>
            <w:pPr>
              <w:pStyle w:val="Compact"/>
              <w:jc w:val="left"/>
            </w:pPr>
            <w:r>
              <w:t xml:space="preserve">93 normas mezcladas. El buscador de InfoLeg realiza búsqueda OR sobre tokens, no permite aislar resoluciones de aprobación.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texto="adhesion RIGI"</w:t>
            </w:r>
          </w:p>
        </w:tc>
        <w:tc>
          <w:p>
            <w:pPr>
              <w:pStyle w:val="Compact"/>
              <w:jc w:val="left"/>
            </w:pPr>
            <w:r>
              <w:t xml:space="preserve">164 normas. Confirma que el OR-search infla resultados.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texto="VPU"</w:t>
            </w:r>
            <w:r>
              <w:t xml:space="preserve"> </w:t>
            </w:r>
            <w:r>
              <w:t xml:space="preserve">desde julio 2024</w:t>
            </w:r>
          </w:p>
        </w:tc>
        <w:tc>
          <w:p>
            <w:pPr>
              <w:pStyle w:val="Compact"/>
              <w:jc w:val="left"/>
            </w:pPr>
            <w:r>
              <w:t xml:space="preserve">28 normas. Solución adoptada.</w:t>
            </w:r>
          </w:p>
        </w:tc>
      </w:tr>
    </w:tbl>
    <w:p>
      <w:pPr>
        <w:pStyle w:val="BodyText"/>
      </w:pPr>
      <w:r>
        <w:t xml:space="preserve">El término</w:t>
      </w:r>
      <w:r>
        <w:t xml:space="preserve"> </w:t>
      </w:r>
      <w:r>
        <w:t xml:space="preserve">“</w:t>
      </w:r>
      <w:r>
        <w:t xml:space="preserve">VPU</w:t>
      </w:r>
      <w:r>
        <w:t xml:space="preserve">”</w:t>
      </w:r>
      <w:r>
        <w:t xml:space="preserve"> </w:t>
      </w:r>
      <w:r>
        <w:t xml:space="preserve">(Vehículo de Proyecto Único) es vocabulario técnico exclusivo de la Ley 27.742, presente únicamente en resoluciones de aprobación e implementación del régimen. Calibración: 28 resoluciones VPU corresponden a 16 proyectos aprobados (aproximadamente 1.7 resoluciones por proyecto), equivalente a 28.0% de avance. Este valor coincide con el dato manual de mayo 2026 publicado por El Cronista (28.7%, calculado sobre USD 27.210 millones aprobados sobre USD 94.965 millones totales).</w:t>
      </w:r>
    </w:p>
    <w:bookmarkEnd w:id="35"/>
    <w:bookmarkStart w:id="38" w:name="indicadores-sin-fuente-disponible"/>
    <w:p>
      <w:pPr>
        <w:pStyle w:val="Heading3"/>
      </w:pPr>
      <w:r>
        <w:t xml:space="preserve">Indicadores sin fuente disponible</w:t>
      </w:r>
    </w:p>
    <w:bookmarkStart w:id="36" w:name="Xa7809416c17c9a8fcea93e55480478c66e196aa"/>
    <w:p>
      <w:pPr>
        <w:pStyle w:val="Heading4"/>
      </w:pPr>
      <w:r>
        <w:rPr>
          <w:rStyle w:val="VerbatimChar"/>
        </w:rPr>
        <w:t xml:space="preserve">libertad_opcion_salud</w:t>
      </w:r>
      <w:r>
        <w:t xml:space="preserve"> </w:t>
      </w:r>
      <w:r>
        <w:t xml:space="preserve">(Superintendencia de Servicios de Salud)</w:t>
      </w:r>
    </w:p>
    <w:p>
      <w:pPr>
        <w:pStyle w:val="FirstParagraph"/>
      </w:pPr>
      <w:r>
        <w:t xml:space="preserve">Vías intentadas: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Scraping directo sssalud.gob.ar</w:t>
            </w:r>
          </w:p>
        </w:tc>
        <w:tc>
          <w:p>
            <w:pPr>
              <w:pStyle w:val="Compact"/>
              <w:jc w:val="left"/>
            </w:pPr>
            <w:r>
              <w:t xml:space="preserve">Devuelve mensaje</w:t>
            </w:r>
            <w:r>
              <w:t xml:space="preserve"> </w:t>
            </w:r>
            <w:r>
              <w:t xml:space="preserve">“</w:t>
            </w:r>
            <w:r>
              <w:t xml:space="preserve">No se reportan datos</w:t>
            </w:r>
            <w:r>
              <w:t xml:space="preserve">”</w:t>
            </w:r>
            <w:r>
              <w:t xml:space="preserve">. El sitio implementa fingerprinting de cliente en backend (endpoint</w:t>
            </w:r>
            <w:r>
              <w:t xml:space="preserve"> </w:t>
            </w:r>
            <w:r>
              <w:rPr>
                <w:rStyle w:val="VerbatimChar"/>
              </w:rPr>
              <w:t xml:space="preserve">/fwb/first_submit.df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Playwright (browser real)</w:t>
            </w:r>
          </w:p>
        </w:tc>
        <w:tc>
          <w:p>
            <w:pPr>
              <w:pStyle w:val="Compact"/>
              <w:jc w:val="left"/>
            </w:pPr>
            <w:r>
              <w:t xml:space="preserve">Mismo resultado:</w:t>
            </w:r>
            <w:r>
              <w:t xml:space="preserve"> </w:t>
            </w:r>
            <w:r>
              <w:t xml:space="preserve">“</w:t>
            </w:r>
            <w:r>
              <w:t xml:space="preserve">No se reportan datos</w:t>
            </w:r>
            <w:r>
              <w:t xml:space="preserve">”</w:t>
            </w:r>
            <w:r>
              <w:t xml:space="preserve">. El bloqueo es a nivel servidor, no de renderizado JS.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Datasets datos.gob.ar (Padrón Obras Sociales Nacionales, Financiamiento)</w:t>
            </w:r>
          </w:p>
        </w:tc>
        <w:tc>
          <w:p>
            <w:pPr>
              <w:pStyle w:val="Compact"/>
              <w:jc w:val="left"/>
            </w:pPr>
            <w:r>
              <w:t xml:space="preserve">Datasets existen pero los CSV están congelados con</w:t>
            </w:r>
            <w:r>
              <w:t xml:space="preserve"> </w:t>
            </w:r>
            <w:r>
              <w:rPr>
                <w:rStyle w:val="VerbatimChar"/>
              </w:rPr>
              <w:t xml:space="preserve">last_modified</w:t>
            </w:r>
            <w:r>
              <w:t xml:space="preserve"> </w:t>
            </w:r>
            <w:r>
              <w:t xml:space="preserve">2018-2019.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Memorias y publicaciones de SSS</w:t>
            </w:r>
          </w:p>
        </w:tc>
        <w:tc>
          <w:p>
            <w:pPr>
              <w:pStyle w:val="Compact"/>
              <w:jc w:val="left"/>
            </w:pPr>
            <w:r>
              <w:t xml:space="preserve">Páginas HTML estáticas, sin estadísticas estructuradas de traspasos post-diciembre 2023.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sin alternativa pública. Carga manual trimestral desde reportes oficiales de SSS cuando se publiquen.</w:t>
      </w:r>
    </w:p>
    <w:bookmarkEnd w:id="36"/>
    <w:bookmarkStart w:id="37" w:name="X924b5bc196de9b2dfe191e887795814714084bb"/>
    <w:p>
      <w:pPr>
        <w:pStyle w:val="Heading4"/>
      </w:pPr>
      <w:r>
        <w:rPr>
          <w:rStyle w:val="VerbatimChar"/>
        </w:rPr>
        <w:t xml:space="preserve">privatizaciones</w:t>
      </w:r>
      <w:r>
        <w:t xml:space="preserve"> </w:t>
      </w:r>
      <w:r>
        <w:t xml:space="preserve">(transferencia efectiva de acciones)</w:t>
      </w:r>
    </w:p>
    <w:p>
      <w:pPr>
        <w:pStyle w:val="FirstParagraph"/>
      </w:pPr>
      <w:r>
        <w:t xml:space="preserve">Vías intentadas: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Boletín Oficial</w:t>
            </w:r>
          </w:p>
        </w:tc>
        <w:tc>
          <w:p>
            <w:pPr>
              <w:pStyle w:val="Compact"/>
              <w:jc w:val="left"/>
            </w:pPr>
            <w:r>
              <w:t xml:space="preserve">Endpoints</w:t>
            </w:r>
            <w:r>
              <w:t xml:space="preserve"> </w:t>
            </w:r>
            <w:r>
              <w:rPr>
                <w:rStyle w:val="VerbatimChar"/>
              </w:rPr>
              <w:t xml:space="preserve">lookup/sections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lookup/dependencies</w:t>
            </w:r>
            <w:r>
              <w:t xml:space="preserve"> </w:t>
            </w:r>
            <w:r>
              <w:t xml:space="preserve">retornan HTML, no JSON.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ComprAR (pliegos publicados)</w:t>
            </w:r>
          </w:p>
        </w:tc>
        <w:tc>
          <w:p>
            <w:pPr>
              <w:pStyle w:val="Compact"/>
              <w:jc w:val="left"/>
            </w:pPr>
            <w:r>
              <w:t xml:space="preserve">ASP.NET con</w:t>
            </w:r>
            <w:r>
              <w:t xml:space="preserve"> </w:t>
            </w:r>
            <w:r>
              <w:rPr>
                <w:rStyle w:val="VerbatimChar"/>
              </w:rPr>
              <w:t xml:space="preserve">__VIEWSTATE</w:t>
            </w:r>
            <w:r>
              <w:t xml:space="preserve">, búsquedas requieren mantener sesión y simular formularios complejos.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tipoNorma=2 texto="Aerolíneas"</w:t>
            </w:r>
            <w:r>
              <w:t xml:space="preserve"> </w:t>
            </w:r>
            <w:r>
              <w:t xml:space="preserve">(Decreto)</w:t>
            </w:r>
          </w:p>
        </w:tc>
        <w:tc>
          <w:p>
            <w:pPr>
              <w:pStyle w:val="Compact"/>
              <w:jc w:val="left"/>
            </w:pPr>
            <w:r>
              <w:t xml:space="preserve">1 norma. Insuficiente como serie.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texto="privatizacion"</w:t>
            </w:r>
            <w:r>
              <w:t xml:space="preserve"> </w:t>
            </w:r>
            <w:r>
              <w:t xml:space="preserve">(Resolución)</w:t>
            </w:r>
          </w:p>
        </w:tc>
        <w:tc>
          <w:p>
            <w:pPr>
              <w:pStyle w:val="Compact"/>
              <w:jc w:val="left"/>
            </w:pPr>
            <w:r>
              <w:t xml:space="preserve">9 normas, pero OR-search ambiguo: contar normas no equivale a transferencia efectiva de acciones.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tipoNorma=2 texto="transferencia acciones"</w:t>
            </w:r>
            <w:r>
              <w:t xml:space="preserve"> </w:t>
            </w:r>
            <w:r>
              <w:t xml:space="preserve">(Decreto)</w:t>
            </w:r>
          </w:p>
        </w:tc>
        <w:tc>
          <w:p>
            <w:pPr>
              <w:pStyle w:val="Compact"/>
              <w:jc w:val="left"/>
            </w:pPr>
            <w:r>
              <w:t xml:space="preserve">367 normas. Falso positivo masivo por OR-search.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sin proxy confiable. Carga manual mensual desde anuncios oficiales del Ministerio de Economía.</w:t>
      </w:r>
    </w:p>
    <w:bookmarkEnd w:id="37"/>
    <w:bookmarkEnd w:id="38"/>
    <w:bookmarkStart w:id="39" w:name="Xe460159abdc324a99679b4e5148beed9c907fa1"/>
    <w:p>
      <w:pPr>
        <w:pStyle w:val="Heading3"/>
      </w:pPr>
      <w:r>
        <w:t xml:space="preserve">Indicadores con carga manual no bloqueados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 potencial</w:t>
            </w:r>
          </w:p>
        </w:tc>
        <w:tc>
          <w:p>
            <w:pPr>
              <w:pStyle w:val="Compact"/>
              <w:jc w:val="left"/>
            </w:pPr>
            <w:r>
              <w:t xml:space="preserve">Vía de automatización futura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Concesiones de infraestructura</w:t>
            </w:r>
          </w:p>
        </w:tc>
        <w:tc>
          <w:p>
            <w:pPr>
              <w:pStyle w:val="Compact"/>
              <w:jc w:val="left"/>
            </w:pPr>
            <w:r>
              <w:t xml:space="preserve">Vialidad Nacional, ORSNA — informes PDF trimestrales</w:t>
            </w:r>
          </w:p>
        </w:tc>
        <w:tc>
          <w:p>
            <w:pPr>
              <w:pStyle w:val="Compact"/>
              <w:jc w:val="left"/>
            </w:pPr>
            <w:r>
              <w:t xml:space="preserve">Parser de PDF (similar al usado en CICCRA)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Asistencia directa</w:t>
            </w:r>
          </w:p>
        </w:tc>
        <w:tc>
          <w:p>
            <w:pPr>
              <w:pStyle w:val="Compact"/>
              <w:jc w:val="left"/>
            </w:pPr>
            <w:r>
              <w:t xml:space="preserve">ANSES portal transparencia</w:t>
            </w:r>
          </w:p>
        </w:tc>
        <w:tc>
          <w:p>
            <w:pPr>
              <w:pStyle w:val="Compact"/>
              <w:jc w:val="left"/>
            </w:pPr>
            <w:r>
              <w:t xml:space="preserve">Pendiente apertura de API pública por ANSES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Modernización laboral (FAL)</w:t>
            </w:r>
          </w:p>
        </w:tc>
        <w:tc>
          <w:p>
            <w:pPr>
              <w:pStyle w:val="Compact"/>
              <w:jc w:val="left"/>
            </w:pPr>
            <w:r>
              <w:t xml:space="preserve">MTEySS, ARCA, ANSES</w:t>
            </w:r>
          </w:p>
        </w:tc>
        <w:tc>
          <w:p>
            <w:pPr>
              <w:pStyle w:val="Compact"/>
              <w:jc w:val="left"/>
            </w:pPr>
            <w:r>
              <w:t xml:space="preserve">Implementable cuando FAL entre en operación (H2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Protocolo antipiquetes</w:t>
            </w:r>
          </w:p>
        </w:tc>
        <w:tc>
          <w:p>
            <w:pPr>
              <w:pStyle w:val="Compact"/>
              <w:jc w:val="left"/>
            </w:pPr>
            <w:r>
              <w:t xml:space="preserve">Ministerio de Seguridad</w:t>
            </w:r>
          </w:p>
        </w:tc>
        <w:tc>
          <w:p>
            <w:pPr>
              <w:pStyle w:val="Compact"/>
              <w:jc w:val="left"/>
            </w:pPr>
            <w:r>
              <w:t xml:space="preserve">Requeriría acuerdo institucional o relevamiento propio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apéndice-patrones-técnicos-consolidados"/>
    <w:p>
      <w:pPr>
        <w:pStyle w:val="Heading2"/>
      </w:pPr>
      <w:r>
        <w:t xml:space="preserve">Apéndice — Patrones técnicos consolidados</w:t>
      </w:r>
    </w:p>
    <w:bookmarkStart w:id="41" w:name="sesión-post-en-infoleg"/>
    <w:p>
      <w:pPr>
        <w:pStyle w:val="Heading3"/>
      </w:pPr>
      <w:r>
        <w:t xml:space="preserve">Sesión POST en InfoLeg</w:t>
      </w:r>
    </w:p>
    <w:p>
      <w:pPr>
        <w:pStyle w:val="FirstParagraph"/>
      </w:pPr>
      <w:r>
        <w:t xml:space="preserve">Patrón compartido entre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fetch_ratio_dnu</w:t>
      </w:r>
      <w:r>
        <w:t xml:space="preserve">) y</w:t>
      </w:r>
      <w:r>
        <w:t xml:space="preserve"> </w:t>
      </w:r>
      <w:r>
        <w:rPr>
          <w:rStyle w:val="VerbatimChar"/>
        </w:rPr>
        <w:t xml:space="preserve">gestion.py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fetch_desregulacion_normativa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fetch_reestructuracion_organismos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fetch_rigi_inversiones</w:t>
      </w:r>
      <w:r>
        <w:t xml:space="preserve">). Requiere: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a la home de InfoLeg para obtener el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Extraer la URL de acción del formulario con regex sobre el HTML.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tipoNorma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, rango de fechas, manteniendo la sesión.</w:t>
      </w:r>
    </w:p>
    <w:p>
      <w:pPr>
        <w:numPr>
          <w:ilvl w:val="0"/>
          <w:numId w:val="1001"/>
        </w:numPr>
        <w:pStyle w:val="Compact"/>
      </w:pPr>
      <w:r>
        <w:t xml:space="preserve">Parsear el conteo con regex</w:t>
      </w:r>
      <w:r>
        <w:t xml:space="preserve"> </w:t>
      </w:r>
      <w:r>
        <w:rPr>
          <w:rStyle w:val="VerbatimChar"/>
        </w:rPr>
        <w:t xml:space="preserve">r"Encontradas?[:\s]+(\d+)"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Limitación clave: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realiza búsqueda OR sobre tokens, no búsqueda exacta. Para aislar normas específicas debe usarse vocabulario técnico exclusivo del régimen buscado (caso</w:t>
      </w:r>
      <w:r>
        <w:t xml:space="preserve"> </w:t>
      </w:r>
      <w:r>
        <w:t xml:space="preserve">“</w:t>
      </w:r>
      <w:r>
        <w:t xml:space="preserve">VPU</w:t>
      </w:r>
      <w:r>
        <w:t xml:space="preserve">”</w:t>
      </w:r>
      <w:r>
        <w:t xml:space="preserve"> </w:t>
      </w:r>
      <w:r>
        <w:t xml:space="preserve">para RIGI).</w:t>
      </w:r>
    </w:p>
    <w:bookmarkEnd w:id="41"/>
    <w:bookmarkStart w:id="42" w:name="ckan-hcdn"/>
    <w:p>
      <w:pPr>
        <w:pStyle w:val="Heading3"/>
      </w:pPr>
      <w:r>
        <w:t xml:space="preserve">CKAN HCDN</w:t>
      </w:r>
    </w:p>
    <w:p>
      <w:pPr>
        <w:pStyle w:val="FirstParagraph"/>
      </w:pPr>
      <w:r>
        <w:t xml:space="preserve">Patrón en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veto_quorum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comisiones_caidas</w:t>
      </w:r>
      <w:r>
        <w:t xml:space="preserve">. Limitaciones documentadas:</w:t>
      </w:r>
    </w:p>
    <w:p>
      <w:pPr>
        <w:numPr>
          <w:ilvl w:val="0"/>
          <w:numId w:val="1002"/>
        </w:numPr>
        <w:pStyle w:val="Compact"/>
      </w:pPr>
      <w:r>
        <w:t xml:space="preserve">El parámetro</w:t>
      </w:r>
      <w:r>
        <w:t xml:space="preserve"> </w:t>
      </w:r>
      <w:r>
        <w:rPr>
          <w:rStyle w:val="VerbatimChar"/>
        </w:rPr>
        <w:t xml:space="preserve">q=</w:t>
      </w:r>
      <w:r>
        <w:t xml:space="preserve"> </w:t>
      </w:r>
      <w:r>
        <w:t xml:space="preserve">realiza búsqueda full-text por tokens, no substring (</w:t>
      </w:r>
      <w:r>
        <w:rPr>
          <w:rStyle w:val="VerbatimChar"/>
        </w:rPr>
        <w:t xml:space="preserve">q="HCDN144"</w:t>
      </w:r>
      <w:r>
        <w:t xml:space="preserve"> </w:t>
      </w:r>
      <w:r>
        <w:t xml:space="preserve">no matchea</w:t>
      </w:r>
      <w:r>
        <w:t xml:space="preserve"> </w:t>
      </w:r>
      <w:r>
        <w:rPr>
          <w:rStyle w:val="VerbatimChar"/>
        </w:rPr>
        <w:t xml:space="preserve">HCDN144R02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Filtros por campo exacto con caracteres acentuados fallan por encoding. Filtrar siempre del lado Python con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dictámenes.EXPEDIENTE</w:t>
      </w:r>
      <w:r>
        <w:t xml:space="preserve"> </w:t>
      </w:r>
      <w:r>
        <w:t xml:space="preserve">permite join directo con</w:t>
      </w:r>
      <w:r>
        <w:t xml:space="preserve"> </w:t>
      </w:r>
      <w:r>
        <w:rPr>
          <w:rStyle w:val="VerbatimChar"/>
        </w:rPr>
        <w:t xml:space="preserve">movimientos.PROYECTO_ID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número de período legislativo se calcula como</w:t>
      </w:r>
      <w:r>
        <w:t xml:space="preserve"> </w:t>
      </w:r>
      <w:r>
        <w:rPr>
          <w:rStyle w:val="VerbatimChar"/>
        </w:rPr>
        <w:t xml:space="preserve">144 + (año_actual − 2026)</w:t>
      </w:r>
      <w:r>
        <w:t xml:space="preserve">.</w:t>
      </w:r>
    </w:p>
    <w:bookmarkEnd w:id="42"/>
    <w:bookmarkStart w:id="43" w:name="datos.gob.ar-series-api"/>
    <w:p>
      <w:pPr>
        <w:pStyle w:val="Heading3"/>
      </w:pPr>
      <w:r>
        <w:t xml:space="preserve">datos.gob.ar series API</w:t>
      </w:r>
    </w:p>
    <w:p>
      <w:pPr>
        <w:pStyle w:val="FirstParagraph"/>
      </w:pPr>
      <w:r>
        <w:t xml:space="preserve">Patrón estándar:</w:t>
      </w:r>
      <w:r>
        <w:t xml:space="preserve"> </w:t>
      </w:r>
      <w:r>
        <w:rPr>
          <w:rStyle w:val="VerbatimChar"/>
        </w:rPr>
        <w:t xml:space="preserve">https://apis.datos.gob.ar/series/api/series/</w:t>
      </w:r>
      <w:r>
        <w:t xml:space="preserve"> </w:t>
      </w:r>
      <w:r>
        <w:t xml:space="preserve">con parámetros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format=json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sort=desc</w:t>
      </w:r>
      <w:r>
        <w:t xml:space="preserve">. Ocho series INDEC en uso distribuidas en macro, gestión y vida cotidiana.</w:t>
      </w:r>
    </w:p>
    <w:bookmarkEnd w:id="43"/>
    <w:bookmarkStart w:id="44" w:name="bcra-api-v4.0"/>
    <w:p>
      <w:pPr>
        <w:pStyle w:val="Heading3"/>
      </w:pPr>
      <w:r>
        <w:t xml:space="preserve">BCRA API v4.0</w:t>
      </w:r>
    </w:p>
    <w:p>
      <w:pPr>
        <w:pStyle w:val="FirstParagraph"/>
      </w:pPr>
      <w:r>
        <w:t xml:space="preserve">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 </w:t>
      </w:r>
      <w:r>
        <w:t xml:space="preserve">por configuración SSL del servidor. Los datos vienen en orden descendente: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siempre el dato más reciente.</w:t>
      </w:r>
    </w:p>
    <w:bookmarkEnd w:id="44"/>
    <w:bookmarkEnd w:id="45"/>
    <w:bookmarkEnd w:id="46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2026-05-23T17:46:26Z</dcterms:created>
  <dcterms:modified xsi:type="dcterms:W3CDTF">2026-05-23T17:46:26Z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