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Bdr>
          <w:bottom w:val="single" w:sz="12" w:space="4" w:color="1E5F9E"/>
        </w:pBdr>
      </w:pPr>
      <w:r>
        <w:rPr>
          <w:rFonts w:ascii="Calibri" w:hAnsi="Calibri"/>
          <w:b/>
          <w:color w:val="1A233A"/>
          <w:sz w:val="40"/>
        </w:rPr>
        <w:t>Análisis matusiano del dashboard CiGob — Resumen ejecutivo</w:t>
      </w:r>
    </w:p>
    <w:p>
      <w:pPr>
        <w:spacing w:after="40" w:before="40"/>
        <w:ind w:left="680"/>
      </w:pPr>
      <w:r>
        <w:rPr>
          <w:rFonts w:ascii="Calibri" w:hAnsi="Calibri"/>
          <w:b/>
          <w:i/>
          <w:color w:val="606060"/>
          <w:sz w:val="21"/>
        </w:rPr>
        <w:t>Sitio analizado</w:t>
      </w:r>
      <w:r>
        <w:rPr>
          <w:rFonts w:ascii="Calibri" w:hAnsi="Calibri"/>
          <w:b w:val="0"/>
          <w:i/>
          <w:color w:val="606060"/>
          <w:sz w:val="21"/>
        </w:rPr>
        <w:t>: https://cigob.k1t.eu/index.html</w:t>
      </w:r>
    </w:p>
    <w:p>
      <w:pPr>
        <w:spacing w:after="40" w:before="40"/>
        <w:ind w:left="680"/>
      </w:pPr>
      <w:r>
        <w:rPr>
          <w:rFonts w:ascii="Calibri" w:hAnsi="Calibri"/>
          <w:b/>
          <w:i/>
          <w:color w:val="606060"/>
          <w:sz w:val="21"/>
        </w:rPr>
        <w:t>Marco</w:t>
      </w:r>
      <w:r>
        <w:rPr>
          <w:rFonts w:ascii="Calibri" w:hAnsi="Calibri"/>
          <w:b w:val="0"/>
          <w:i/>
          <w:color w:val="606060"/>
          <w:sz w:val="21"/>
        </w:rPr>
        <w:t>: Planificación Estratégica Situacional de Carlos Matus (1997 / tardío)</w:t>
      </w:r>
    </w:p>
    <w:p>
      <w:pPr>
        <w:spacing w:after="40" w:before="40"/>
        <w:ind w:left="680"/>
      </w:pPr>
      <w:r>
        <w:rPr>
          <w:rFonts w:ascii="Calibri" w:hAnsi="Calibri"/>
          <w:b/>
          <w:i/>
          <w:color w:val="606060"/>
          <w:sz w:val="21"/>
        </w:rPr>
        <w:t>Fecha</w:t>
      </w:r>
      <w:r>
        <w:rPr>
          <w:rFonts w:ascii="Calibri" w:hAnsi="Calibri"/>
          <w:b w:val="0"/>
          <w:i/>
          <w:color w:val="606060"/>
          <w:sz w:val="21"/>
        </w:rPr>
        <w:t>: mayo 2026</w:t>
      </w:r>
    </w:p>
    <w:p>
      <w:pPr>
        <w:spacing w:after="40" w:before="40"/>
        <w:ind w:left="680"/>
      </w:pPr>
      <w:r>
        <w:rPr>
          <w:rFonts w:ascii="Calibri" w:hAnsi="Calibri"/>
          <w:b/>
          <w:i/>
          <w:color w:val="606060"/>
          <w:sz w:val="21"/>
        </w:rPr>
        <w:t>Archivos del análisis</w:t>
      </w:r>
      <w:r>
        <w:rPr>
          <w:rFonts w:ascii="Calibri" w:hAnsi="Calibri"/>
          <w:b w:val="0"/>
          <w:i/>
          <w:color w:val="606060"/>
          <w:sz w:val="21"/>
        </w:rPr>
        <w:t>: ver índice al final.</w:t>
      </w:r>
    </w:p>
    <w:p>
      <w:pPr>
        <w:pBdr>
          <w:bottom w:val="single" w:sz="6" w:space="4" w:color="3A8FC9"/>
        </w:pBdr>
        <w:spacing w:before="120" w:after="120"/>
      </w:pPr>
    </w:p>
    <w:p>
      <w:pPr>
        <w:spacing w:before="200" w:after="120"/>
      </w:pPr>
      <w:r>
        <w:rPr>
          <w:rFonts w:ascii="Calibri" w:hAnsi="Calibri"/>
          <w:b/>
          <w:color w:val="1E5F9E"/>
          <w:sz w:val="30"/>
        </w:rPr>
        <w:t>TL;DR</w:t>
      </w:r>
    </w:p>
    <w:p>
      <w:pPr>
        <w:spacing w:after="120"/>
      </w:pPr>
      <w:r>
        <w:rPr>
          <w:rFonts w:ascii="Calibri" w:hAnsi="Calibri"/>
          <w:b w:val="0"/>
          <w:i w:val="0"/>
          <w:sz w:val="22"/>
        </w:rPr>
        <w:t xml:space="preserve">El dashboard tiene un </w:t>
      </w:r>
      <w:r>
        <w:rPr>
          <w:rFonts w:ascii="Calibri" w:hAnsi="Calibri"/>
          <w:b/>
          <w:i w:val="0"/>
          <w:sz w:val="22"/>
        </w:rPr>
        <w:t>núcleo metodológico fiel a Matus</w:t>
      </w:r>
      <w:r>
        <w:rPr>
          <w:rFonts w:ascii="Calibri" w:hAnsi="Calibri"/>
          <w:b w:val="0"/>
          <w:i w:val="0"/>
          <w:sz w:val="22"/>
        </w:rPr>
        <w:t xml:space="preserve"> (tres cinturones + regla del semáforo) y, con el agregado del 4º cinturón "CIGOB / Gestión", se alinea correctamente con el juego macroorganizativo de la obra tardía. </w:t>
      </w:r>
      <w:r>
        <w:rPr>
          <w:rFonts w:ascii="Calibri" w:hAnsi="Calibri"/>
          <w:b/>
          <w:i w:val="0"/>
          <w:sz w:val="22"/>
        </w:rPr>
        <w:t>Pero el armado operativo tiene cuatro debilidades concretas y reparables</w:t>
      </w:r>
      <w:r>
        <w:rPr>
          <w:rFonts w:ascii="Calibri" w:hAnsi="Calibri"/>
          <w:b w:val="0"/>
          <w:i w:val="0"/>
          <w:sz w:val="22"/>
        </w:rPr>
        <w:t>:</w:t>
      </w:r>
    </w:p>
    <w:p>
      <w:pPr>
        <w:spacing w:after="60"/>
        <w:ind w:left="454" w:hanging="283"/>
      </w:pPr>
      <w:r>
        <w:rPr>
          <w:rFonts w:ascii="Calibri" w:hAnsi="Calibri"/>
          <w:b/>
          <w:color w:val="1A233A"/>
          <w:sz w:val="22"/>
        </w:rPr>
        <w:t xml:space="preserve">1.  </w:t>
      </w:r>
      <w:r>
        <w:rPr>
          <w:rFonts w:ascii="Calibri" w:hAnsi="Calibri"/>
          <w:b/>
          <w:i w:val="0"/>
          <w:sz w:val="22"/>
        </w:rPr>
        <w:t>Sesgo financiero-coyuntural en el cinturón Económico</w:t>
      </w:r>
      <w:r>
        <w:rPr>
          <w:rFonts w:ascii="Calibri" w:hAnsi="Calibri"/>
          <w:b w:val="0"/>
          <w:i w:val="0"/>
          <w:sz w:val="22"/>
        </w:rPr>
        <w:t>: 7 indicadores, ningún dato de actividad real ni de mercado de trabajo.</w:t>
      </w:r>
    </w:p>
    <w:p>
      <w:pPr>
        <w:spacing w:after="60"/>
        <w:ind w:left="454" w:hanging="283"/>
      </w:pPr>
      <w:r>
        <w:rPr>
          <w:rFonts w:ascii="Calibri" w:hAnsi="Calibri"/>
          <w:b/>
          <w:color w:val="1A233A"/>
          <w:sz w:val="22"/>
        </w:rPr>
        <w:t xml:space="preserve">2.  </w:t>
      </w:r>
      <w:r>
        <w:rPr>
          <w:rFonts w:ascii="Calibri" w:hAnsi="Calibri"/>
          <w:b/>
          <w:i w:val="0"/>
          <w:sz w:val="22"/>
        </w:rPr>
        <w:t>Sesgo a popularidad en el cinturón Político</w:t>
      </w:r>
      <w:r>
        <w:rPr>
          <w:rFonts w:ascii="Calibri" w:hAnsi="Calibri"/>
          <w:b w:val="0"/>
          <w:i w:val="0"/>
          <w:sz w:val="22"/>
        </w:rPr>
        <w:t>: 2 de 4 indicadores son imagen/voto, falta dimensión institucional (federalismo, justicia, oficialismo).</w:t>
      </w:r>
    </w:p>
    <w:p>
      <w:pPr>
        <w:spacing w:after="60"/>
        <w:ind w:left="454" w:hanging="283"/>
      </w:pPr>
      <w:r>
        <w:rPr>
          <w:rFonts w:ascii="Calibri" w:hAnsi="Calibri"/>
          <w:b/>
          <w:color w:val="1A233A"/>
          <w:sz w:val="22"/>
        </w:rPr>
        <w:t xml:space="preserve">3.  </w:t>
      </w:r>
      <w:r>
        <w:rPr>
          <w:rFonts w:ascii="Calibri" w:hAnsi="Calibri"/>
          <w:b/>
          <w:i w:val="0"/>
          <w:sz w:val="22"/>
        </w:rPr>
        <w:t>Cinturón de Vida Cotidiana mal nombrado y mal compuesto</w:t>
      </w:r>
      <w:r>
        <w:rPr>
          <w:rFonts w:ascii="Calibri" w:hAnsi="Calibri"/>
          <w:b w:val="0"/>
          <w:i w:val="0"/>
          <w:sz w:val="22"/>
        </w:rPr>
        <w:t>: el subtítulo "Licencia Social" sesga a coyuntura económica filtrada; faltan pobreza, empleo, seguridad, educación, salud — justo lo que más siente la gente.</w:t>
      </w:r>
    </w:p>
    <w:p>
      <w:pPr>
        <w:spacing w:after="60"/>
        <w:ind w:left="454" w:hanging="283"/>
      </w:pPr>
      <w:r>
        <w:rPr>
          <w:rFonts w:ascii="Calibri" w:hAnsi="Calibri"/>
          <w:b/>
          <w:color w:val="1A233A"/>
          <w:sz w:val="22"/>
        </w:rPr>
        <w:t xml:space="preserve">4.  </w:t>
      </w:r>
      <w:r>
        <w:rPr>
          <w:rFonts w:ascii="Calibri" w:hAnsi="Calibri"/>
          <w:b/>
          <w:i w:val="0"/>
          <w:sz w:val="22"/>
        </w:rPr>
        <w:t>Cinturón CIGOB / Gestión vacío y opaco</w:t>
      </w:r>
      <w:r>
        <w:rPr>
          <w:rFonts w:ascii="Calibri" w:hAnsi="Calibri"/>
          <w:b w:val="0"/>
          <w:i w:val="0"/>
          <w:sz w:val="22"/>
        </w:rPr>
        <w:t xml:space="preserve">: 2 indicadores, uno (productividad estatal 47/100) es compuesto sin transparencia metodológica. Es el cinturón con </w:t>
      </w:r>
      <w:r>
        <w:rPr>
          <w:rFonts w:ascii="Calibri" w:hAnsi="Calibri"/>
          <w:b/>
          <w:i w:val="0"/>
          <w:sz w:val="22"/>
        </w:rPr>
        <w:t>mayor potencial de diferenciación competitiva</w:t>
      </w:r>
      <w:r>
        <w:rPr>
          <w:rFonts w:ascii="Calibri" w:hAnsi="Calibri"/>
          <w:b w:val="0"/>
          <w:i w:val="0"/>
          <w:sz w:val="22"/>
        </w:rPr>
        <w:t xml:space="preserve"> y hoy es el más débil.</w:t>
      </w:r>
    </w:p>
    <w:p>
      <w:pPr>
        <w:spacing w:after="120"/>
      </w:pPr>
      <w:r>
        <w:rPr>
          <w:rFonts w:ascii="Calibri" w:hAnsi="Calibri"/>
          <w:b w:val="0"/>
          <w:i w:val="0"/>
          <w:sz w:val="22"/>
        </w:rPr>
        <w:t xml:space="preserve">Sumadas, estas cuatro debilidades empujan al observador hacia los tres barbarismos matusianos en simultáneo (tecnocrático en Macro, político/demagógico en Política, gerencial latente en Gestión). Nota de nomenclatura: la triada canónica matusiana es </w:t>
      </w:r>
      <w:r>
        <w:rPr>
          <w:rFonts w:ascii="Calibri" w:hAnsi="Calibri"/>
          <w:b/>
          <w:i w:val="0"/>
          <w:sz w:val="22"/>
        </w:rPr>
        <w:t>político / tecnocrático / gerencial</w:t>
      </w:r>
      <w:r>
        <w:rPr>
          <w:rFonts w:ascii="Calibri" w:hAnsi="Calibri"/>
          <w:b w:val="0"/>
          <w:i w:val="0"/>
          <w:sz w:val="22"/>
        </w:rPr>
        <w:t xml:space="preserve">; "demagógico" aparece en literatura secundaria como variante del barbarismo político (ver </w:t>
      </w:r>
      <w:r>
        <w:rPr>
          <w:rFonts w:ascii="Courier New" w:hAnsi="Courier New"/>
          <w:b w:val="0"/>
          <w:sz w:val="20"/>
        </w:rPr>
        <w:t>_brief_matus.md</w:t>
      </w:r>
      <w:r>
        <w:rPr>
          <w:rFonts w:ascii="Calibri" w:hAnsi="Calibri"/>
          <w:b w:val="0"/>
          <w:i w:val="0"/>
          <w:sz w:val="22"/>
        </w:rPr>
        <w:t xml:space="preserve"> §3 y §13).</w:t>
      </w:r>
    </w:p>
    <w:p>
      <w:pPr>
        <w:pBdr>
          <w:bottom w:val="single" w:sz="6" w:space="4" w:color="3A8FC9"/>
        </w:pBdr>
        <w:spacing w:before="120" w:after="120"/>
      </w:pPr>
    </w:p>
    <w:p>
      <w:pPr>
        <w:spacing w:before="200" w:after="120"/>
      </w:pPr>
      <w:r>
        <w:rPr>
          <w:rFonts w:ascii="Calibri" w:hAnsi="Calibri"/>
          <w:b/>
          <w:color w:val="1E5F9E"/>
          <w:sz w:val="30"/>
        </w:rPr>
        <w:t>1. Estado declarado por el dashboard (mayo 2026)</w:t>
      </w:r>
    </w:p>
    <w:tbl>
      <w:tblPr>
        <w:tblStyle w:val="TableGrid"/>
        <w:tblW w:type="auto" w:w="0"/>
        <w:jc w:val="left"/>
        <w:tblLook w:firstColumn="1" w:firstRow="1" w:lastColumn="0" w:lastRow="0" w:noHBand="0" w:noVBand="1" w:val="04A0"/>
      </w:tblPr>
      <w:tblGrid>
        <w:gridCol w:w="2183"/>
        <w:gridCol w:w="2183"/>
        <w:gridCol w:w="2183"/>
        <w:gridCol w:w="2183"/>
      </w:tblGrid>
      <w:tr>
        <w:tc>
          <w:tcPr>
            <w:tcW w:type="dxa" w:w="2183"/>
            <w:vAlign w:val="center"/>
            <w:shd w:val="clear" w:color="auto" w:fill="1E5F9E"/>
          </w:tcPr>
          <w:p>
            <w:pPr>
              <w:spacing w:before="80" w:after="80"/>
            </w:pPr>
            <w:r>
              <w:rPr>
                <w:rFonts w:ascii="Calibri" w:hAnsi="Calibri"/>
                <w:b/>
                <w:color w:val="FFFFFF"/>
                <w:sz w:val="20"/>
              </w:rPr>
              <w:t>Cinturón</w:t>
            </w:r>
          </w:p>
        </w:tc>
        <w:tc>
          <w:tcPr>
            <w:tcW w:type="dxa" w:w="2183"/>
            <w:vAlign w:val="center"/>
            <w:shd w:val="clear" w:color="auto" w:fill="1E5F9E"/>
          </w:tcPr>
          <w:p>
            <w:pPr>
              <w:spacing w:before="80" w:after="80"/>
            </w:pPr>
            <w:r>
              <w:rPr>
                <w:rFonts w:ascii="Calibri" w:hAnsi="Calibri"/>
                <w:b/>
                <w:color w:val="FFFFFF"/>
                <w:sz w:val="20"/>
              </w:rPr>
              <w:t>Indicadores</w:t>
            </w:r>
          </w:p>
        </w:tc>
        <w:tc>
          <w:tcPr>
            <w:tcW w:type="dxa" w:w="2183"/>
            <w:vAlign w:val="center"/>
            <w:shd w:val="clear" w:color="auto" w:fill="1E5F9E"/>
          </w:tcPr>
          <w:p>
            <w:pPr>
              <w:spacing w:before="80" w:after="80"/>
            </w:pPr>
            <w:r>
              <w:rPr>
                <w:rFonts w:ascii="Calibri" w:hAnsi="Calibri"/>
                <w:b/>
                <w:color w:val="FFFFFF"/>
                <w:sz w:val="20"/>
              </w:rPr>
              <w:t>Score declarado</w:t>
            </w:r>
          </w:p>
        </w:tc>
        <w:tc>
          <w:tcPr>
            <w:tcW w:type="dxa" w:w="2183"/>
            <w:vAlign w:val="center"/>
            <w:shd w:val="clear" w:color="auto" w:fill="1E5F9E"/>
          </w:tcPr>
          <w:p>
            <w:pPr>
              <w:spacing w:before="80" w:after="80"/>
            </w:pPr>
            <w:r>
              <w:rPr>
                <w:rFonts w:ascii="Calibri" w:hAnsi="Calibri"/>
                <w:b/>
                <w:color w:val="FFFFFF"/>
                <w:sz w:val="20"/>
              </w:rPr>
              <w:t>Estado</w:t>
            </w:r>
          </w:p>
        </w:tc>
      </w:tr>
      <w:tr>
        <w:tc>
          <w:tcPr>
            <w:tcW w:type="dxa" w:w="2183"/>
            <w:vAlign w:val="center"/>
          </w:tcPr>
          <w:p>
            <w:pPr>
              <w:spacing w:before="60" w:after="60"/>
            </w:pPr>
            <w:r>
              <w:rPr>
                <w:rFonts w:ascii="Calibri" w:hAnsi="Calibri"/>
                <w:color w:val="1A233A"/>
                <w:sz w:val="19"/>
              </w:rPr>
              <w:t>Económico (Macro)</w:t>
            </w:r>
          </w:p>
        </w:tc>
        <w:tc>
          <w:tcPr>
            <w:tcW w:type="dxa" w:w="2183"/>
            <w:vAlign w:val="center"/>
          </w:tcPr>
          <w:p>
            <w:pPr>
              <w:spacing w:before="60" w:after="60"/>
            </w:pPr>
            <w:r>
              <w:rPr>
                <w:rFonts w:ascii="Calibri" w:hAnsi="Calibri"/>
                <w:color w:val="1A233A"/>
                <w:sz w:val="19"/>
              </w:rPr>
              <w:t>7</w:t>
            </w:r>
          </w:p>
        </w:tc>
        <w:tc>
          <w:tcPr>
            <w:tcW w:type="dxa" w:w="2183"/>
            <w:vAlign w:val="center"/>
          </w:tcPr>
          <w:p>
            <w:pPr>
              <w:spacing w:before="60" w:after="60"/>
            </w:pPr>
            <w:r>
              <w:rPr>
                <w:rFonts w:ascii="Calibri" w:hAnsi="Calibri"/>
                <w:color w:val="1A233A"/>
                <w:sz w:val="19"/>
              </w:rPr>
              <w:t>+57</w:t>
            </w:r>
          </w:p>
        </w:tc>
        <w:tc>
          <w:tcPr>
            <w:tcW w:type="dxa" w:w="2183"/>
            <w:vAlign w:val="center"/>
          </w:tcPr>
          <w:p>
            <w:pPr>
              <w:spacing w:before="60" w:after="60"/>
            </w:pPr>
            <w:r>
              <w:rPr>
                <w:rFonts w:ascii="Calibri" w:hAnsi="Calibri"/>
                <w:color w:val="1A233A"/>
                <w:sz w:val="19"/>
              </w:rPr>
              <w:t>Holgado</w:t>
            </w:r>
          </w:p>
        </w:tc>
      </w:tr>
      <w:tr>
        <w:tc>
          <w:tcPr>
            <w:tcW w:type="dxa" w:w="2183"/>
            <w:vAlign w:val="center"/>
            <w:shd w:val="clear" w:color="auto" w:fill="EBF4FD"/>
          </w:tcPr>
          <w:p>
            <w:pPr>
              <w:spacing w:before="60" w:after="60"/>
            </w:pPr>
            <w:r>
              <w:rPr>
                <w:rFonts w:ascii="Calibri" w:hAnsi="Calibri"/>
                <w:color w:val="1A233A"/>
                <w:sz w:val="19"/>
              </w:rPr>
              <w:t>Político</w:t>
            </w:r>
          </w:p>
        </w:tc>
        <w:tc>
          <w:tcPr>
            <w:tcW w:type="dxa" w:w="2183"/>
            <w:vAlign w:val="center"/>
            <w:shd w:val="clear" w:color="auto" w:fill="EBF4FD"/>
          </w:tcPr>
          <w:p>
            <w:pPr>
              <w:spacing w:before="60" w:after="60"/>
            </w:pPr>
            <w:r>
              <w:rPr>
                <w:rFonts w:ascii="Calibri" w:hAnsi="Calibri"/>
                <w:color w:val="1A233A"/>
                <w:sz w:val="19"/>
              </w:rPr>
              <w:t>4</w:t>
            </w:r>
          </w:p>
        </w:tc>
        <w:tc>
          <w:tcPr>
            <w:tcW w:type="dxa" w:w="2183"/>
            <w:vAlign w:val="center"/>
            <w:shd w:val="clear" w:color="auto" w:fill="EBF4FD"/>
          </w:tcPr>
          <w:p>
            <w:pPr>
              <w:spacing w:before="60" w:after="60"/>
            </w:pPr>
            <w:r>
              <w:rPr>
                <w:rFonts w:ascii="Calibri" w:hAnsi="Calibri"/>
                <w:color w:val="1A233A"/>
                <w:sz w:val="19"/>
              </w:rPr>
              <w:t>+0</w:t>
            </w:r>
          </w:p>
        </w:tc>
        <w:tc>
          <w:tcPr>
            <w:tcW w:type="dxa" w:w="2183"/>
            <w:vAlign w:val="center"/>
            <w:shd w:val="clear" w:color="auto" w:fill="EBF4FD"/>
          </w:tcPr>
          <w:p>
            <w:pPr>
              <w:spacing w:before="60" w:after="60"/>
            </w:pPr>
            <w:r>
              <w:rPr>
                <w:rFonts w:ascii="Calibri" w:hAnsi="Calibri"/>
                <w:color w:val="1A233A"/>
                <w:sz w:val="19"/>
              </w:rPr>
              <w:t>Tensión moderada</w:t>
            </w:r>
          </w:p>
        </w:tc>
      </w:tr>
      <w:tr>
        <w:tc>
          <w:tcPr>
            <w:tcW w:type="dxa" w:w="2183"/>
            <w:vAlign w:val="center"/>
          </w:tcPr>
          <w:p>
            <w:pPr>
              <w:spacing w:before="60" w:after="60"/>
            </w:pPr>
            <w:r>
              <w:rPr>
                <w:rFonts w:ascii="Calibri" w:hAnsi="Calibri"/>
                <w:color w:val="1A233A"/>
                <w:sz w:val="19"/>
              </w:rPr>
              <w:t>Vida Cotidiana / Licencia Social</w:t>
            </w:r>
          </w:p>
        </w:tc>
        <w:tc>
          <w:tcPr>
            <w:tcW w:type="dxa" w:w="2183"/>
            <w:vAlign w:val="center"/>
          </w:tcPr>
          <w:p>
            <w:pPr>
              <w:spacing w:before="60" w:after="60"/>
            </w:pPr>
            <w:r>
              <w:rPr>
                <w:rFonts w:ascii="Calibri" w:hAnsi="Calibri"/>
                <w:color w:val="1A233A"/>
                <w:sz w:val="19"/>
              </w:rPr>
              <w:t>5</w:t>
            </w:r>
          </w:p>
        </w:tc>
        <w:tc>
          <w:tcPr>
            <w:tcW w:type="dxa" w:w="2183"/>
            <w:vAlign w:val="center"/>
          </w:tcPr>
          <w:p>
            <w:pPr>
              <w:spacing w:before="60" w:after="60"/>
            </w:pPr>
            <w:r>
              <w:rPr>
                <w:rFonts w:ascii="Calibri" w:hAnsi="Calibri"/>
                <w:color w:val="1A233A"/>
                <w:sz w:val="19"/>
              </w:rPr>
              <w:t>−20</w:t>
            </w:r>
          </w:p>
        </w:tc>
        <w:tc>
          <w:tcPr>
            <w:tcW w:type="dxa" w:w="2183"/>
            <w:vAlign w:val="center"/>
          </w:tcPr>
          <w:p>
            <w:pPr>
              <w:spacing w:before="60" w:after="60"/>
            </w:pPr>
            <w:r>
              <w:rPr>
                <w:rFonts w:ascii="Calibri" w:hAnsi="Calibri"/>
                <w:color w:val="1A233A"/>
                <w:sz w:val="19"/>
              </w:rPr>
              <w:t>Tensionado</w:t>
            </w:r>
          </w:p>
        </w:tc>
      </w:tr>
      <w:tr>
        <w:tc>
          <w:tcPr>
            <w:tcW w:type="dxa" w:w="2183"/>
            <w:vAlign w:val="center"/>
            <w:shd w:val="clear" w:color="auto" w:fill="EBF4FD"/>
          </w:tcPr>
          <w:p>
            <w:pPr>
              <w:spacing w:before="60" w:after="60"/>
            </w:pPr>
            <w:r>
              <w:rPr>
                <w:rFonts w:ascii="Calibri" w:hAnsi="Calibri"/>
                <w:color w:val="1A233A"/>
                <w:sz w:val="19"/>
              </w:rPr>
              <w:t>CIGOB / Gestión</w:t>
            </w:r>
          </w:p>
        </w:tc>
        <w:tc>
          <w:tcPr>
            <w:tcW w:type="dxa" w:w="2183"/>
            <w:vAlign w:val="center"/>
            <w:shd w:val="clear" w:color="auto" w:fill="EBF4FD"/>
          </w:tcPr>
          <w:p>
            <w:pPr>
              <w:spacing w:before="60" w:after="60"/>
            </w:pPr>
            <w:r>
              <w:rPr>
                <w:rFonts w:ascii="Calibri" w:hAnsi="Calibri"/>
                <w:color w:val="1A233A"/>
                <w:sz w:val="19"/>
              </w:rPr>
              <w:t>2</w:t>
            </w:r>
          </w:p>
        </w:tc>
        <w:tc>
          <w:tcPr>
            <w:tcW w:type="dxa" w:w="2183"/>
            <w:vAlign w:val="center"/>
            <w:shd w:val="clear" w:color="auto" w:fill="EBF4FD"/>
          </w:tcPr>
          <w:p>
            <w:pPr>
              <w:spacing w:before="60" w:after="60"/>
            </w:pPr>
            <w:r>
              <w:rPr>
                <w:rFonts w:ascii="Calibri" w:hAnsi="Calibri"/>
                <w:color w:val="1A233A"/>
                <w:sz w:val="19"/>
              </w:rPr>
              <w:t>sin score público</w:t>
            </w:r>
          </w:p>
        </w:tc>
        <w:tc>
          <w:tcPr>
            <w:tcW w:type="dxa" w:w="2183"/>
            <w:vAlign w:val="center"/>
            <w:shd w:val="clear" w:color="auto" w:fill="EBF4FD"/>
          </w:tcPr>
          <w:p>
            <w:pPr>
              <w:spacing w:before="60" w:after="60"/>
            </w:pPr>
            <w:r>
              <w:rPr>
                <w:rFonts w:ascii="Calibri" w:hAnsi="Calibri"/>
                <w:color w:val="1A233A"/>
                <w:sz w:val="19"/>
              </w:rPr>
              <w:t>sin diagnóstico</w:t>
            </w:r>
          </w:p>
        </w:tc>
      </w:tr>
      <w:tr>
        <w:tc>
          <w:tcPr>
            <w:tcW w:type="dxa" w:w="2183"/>
            <w:vAlign w:val="center"/>
          </w:tcPr>
          <w:p>
            <w:pPr>
              <w:spacing w:before="60" w:after="60"/>
            </w:pPr>
            <w:r>
              <w:rPr>
                <w:rFonts w:ascii="Calibri" w:hAnsi="Calibri"/>
                <w:color w:val="1A233A"/>
                <w:sz w:val="19"/>
              </w:rPr>
              <w:t>Síntesis del sitio</w:t>
            </w:r>
          </w:p>
        </w:tc>
        <w:tc>
          <w:tcPr>
            <w:tcW w:type="dxa" w:w="2183"/>
            <w:vAlign w:val="center"/>
          </w:tcPr>
          <w:p>
            <w:pPr>
              <w:spacing w:before="60" w:after="60"/>
            </w:pPr>
            <w:r>
              <w:rPr>
                <w:rFonts w:ascii="Calibri" w:hAnsi="Calibri"/>
                <w:color w:val="1A233A"/>
                <w:sz w:val="19"/>
              </w:rPr>
              <w:t>18</w:t>
            </w:r>
          </w:p>
        </w:tc>
        <w:tc>
          <w:tcPr>
            <w:tcW w:type="dxa" w:w="2183"/>
            <w:vAlign w:val="center"/>
          </w:tcPr>
          <w:p>
            <w:pPr>
              <w:spacing w:before="60" w:after="60"/>
            </w:pPr>
            <w:r>
              <w:rPr>
                <w:rFonts w:ascii="Calibri" w:hAnsi="Calibri"/>
                <w:color w:val="1A233A"/>
                <w:sz w:val="19"/>
              </w:rPr>
              <w:t>—</w:t>
            </w:r>
          </w:p>
        </w:tc>
        <w:tc>
          <w:tcPr>
            <w:tcW w:type="dxa" w:w="2183"/>
            <w:vAlign w:val="center"/>
          </w:tcPr>
          <w:p>
            <w:pPr>
              <w:spacing w:before="60" w:after="60"/>
            </w:pPr>
            <w:r>
              <w:rPr>
                <w:rFonts w:ascii="Calibri" w:hAnsi="Calibri"/>
                <w:color w:val="1A233A"/>
                <w:sz w:val="19"/>
              </w:rPr>
              <w:t>Alerta amarilla (un cinturón tensionado)</w:t>
            </w:r>
          </w:p>
        </w:tc>
      </w:tr>
    </w:tbl>
    <w:p/>
    <w:p>
      <w:pPr>
        <w:spacing w:after="120"/>
      </w:pPr>
      <w:r>
        <w:rPr>
          <w:rFonts w:ascii="Calibri" w:hAnsi="Calibri"/>
          <w:b w:val="0"/>
          <w:i w:val="0"/>
          <w:sz w:val="22"/>
        </w:rPr>
        <w:t>La alerta es defendible en el plano matusiano: un cinturón apretado activa señal, dos o más activan crisis. Pero la composición de los cinturones puede estar sub-detectando aprietos en Macro (al no medir actividad real) y exagerando una "tensión moderada" en Política (al no separar popularidad de poder institucional).</w:t>
      </w:r>
    </w:p>
    <w:p>
      <w:pPr>
        <w:pBdr>
          <w:bottom w:val="single" w:sz="6" w:space="4" w:color="3A8FC9"/>
        </w:pBdr>
        <w:spacing w:before="120" w:after="120"/>
      </w:pPr>
    </w:p>
    <w:p>
      <w:pPr>
        <w:spacing w:before="200" w:after="120"/>
      </w:pPr>
      <w:r>
        <w:rPr>
          <w:rFonts w:ascii="Calibri" w:hAnsi="Calibri"/>
          <w:b/>
          <w:color w:val="1E5F9E"/>
          <w:sz w:val="30"/>
        </w:rPr>
        <w:t>2. Hallazgos por pestaña</w:t>
      </w:r>
    </w:p>
    <w:p>
      <w:pPr>
        <w:spacing w:before="120" w:after="120"/>
      </w:pPr>
      <w:r>
        <w:rPr>
          <w:rFonts w:ascii="Calibri" w:hAnsi="Calibri"/>
          <w:b/>
          <w:color w:val="3A8FC9"/>
          <w:sz w:val="26"/>
        </w:rPr>
        <w:t>2.1 Macroeconomía (`02_pestana_macroeconomia.md`)</w:t>
      </w:r>
    </w:p>
    <w:p>
      <w:pPr>
        <w:spacing w:after="60"/>
        <w:ind w:left="454" w:hanging="283"/>
      </w:pPr>
      <w:r>
        <w:rPr>
          <w:rFonts w:ascii="Calibri" w:hAnsi="Calibri"/>
          <w:b w:val="0"/>
          <w:color w:val="1E5F9E"/>
          <w:sz w:val="22"/>
        </w:rPr>
        <w:t xml:space="preserve">•  </w:t>
      </w:r>
      <w:r>
        <w:rPr>
          <w:rFonts w:ascii="Calibri" w:hAnsi="Calibri"/>
          <w:b/>
          <w:i w:val="0"/>
          <w:sz w:val="22"/>
        </w:rPr>
        <w:t>Mezcla desbalanceada</w:t>
      </w:r>
      <w:r>
        <w:rPr>
          <w:rFonts w:ascii="Calibri" w:hAnsi="Calibri"/>
          <w:b w:val="0"/>
          <w:i w:val="0"/>
          <w:sz w:val="22"/>
        </w:rPr>
        <w:t>: 3 precios + 2 stocks financieros + 2 flujos = 0 cantidades reales, 0 mercado de trabajo, 0 stock de deuda.</w:t>
      </w:r>
    </w:p>
    <w:p>
      <w:pPr>
        <w:spacing w:after="60"/>
        <w:ind w:left="454" w:hanging="283"/>
      </w:pPr>
      <w:r>
        <w:rPr>
          <w:rFonts w:ascii="Calibri" w:hAnsi="Calibri"/>
          <w:b w:val="0"/>
          <w:color w:val="1E5F9E"/>
          <w:sz w:val="22"/>
        </w:rPr>
        <w:t xml:space="preserve">•  </w:t>
      </w:r>
      <w:r>
        <w:rPr>
          <w:rFonts w:ascii="Calibri" w:hAnsi="Calibri"/>
          <w:b/>
          <w:i w:val="0"/>
          <w:sz w:val="22"/>
        </w:rPr>
        <w:t>Faltantes prioritarios y baratos</w:t>
      </w:r>
      <w:r>
        <w:rPr>
          <w:rFonts w:ascii="Calibri" w:hAnsi="Calibri"/>
          <w:b w:val="0"/>
          <w:i w:val="0"/>
          <w:sz w:val="22"/>
        </w:rPr>
        <w:t>: EMAE (INDEC), desempleo (EPH), recaudación tributaria real, deuda/PBI, expectativas REM, crédito real, UCI. Cuatro fuentes (INDEC, BCRA, AFIP, Finanzas), todas mensuales/trimestrales.</w:t>
      </w:r>
    </w:p>
    <w:p>
      <w:pPr>
        <w:spacing w:after="60"/>
        <w:ind w:left="454" w:hanging="283"/>
      </w:pPr>
      <w:r>
        <w:rPr>
          <w:rFonts w:ascii="Calibri" w:hAnsi="Calibri"/>
          <w:b w:val="0"/>
          <w:color w:val="1E5F9E"/>
          <w:sz w:val="22"/>
        </w:rPr>
        <w:t xml:space="preserve">•  </w:t>
      </w:r>
      <w:r>
        <w:rPr>
          <w:rFonts w:ascii="Calibri" w:hAnsi="Calibri"/>
          <w:b/>
          <w:i w:val="0"/>
          <w:sz w:val="22"/>
        </w:rPr>
        <w:t>Indicadores subóptimos</w:t>
      </w:r>
      <w:r>
        <w:rPr>
          <w:rFonts w:ascii="Calibri" w:hAnsi="Calibri"/>
          <w:b w:val="0"/>
          <w:i w:val="0"/>
          <w:sz w:val="22"/>
        </w:rPr>
        <w:t>: brecha cambiaria pierde poder informativo si el cepo se flexibiliza; saldos mensuales (fiscal, comercial) son volátiles y deberían leerse en 12m móviles; EMBI solapa señal con brecha.</w:t>
      </w:r>
    </w:p>
    <w:p>
      <w:pPr>
        <w:spacing w:after="60"/>
        <w:ind w:left="454" w:hanging="283"/>
      </w:pPr>
      <w:r>
        <w:rPr>
          <w:rFonts w:ascii="Calibri" w:hAnsi="Calibri"/>
          <w:b w:val="0"/>
          <w:color w:val="1E5F9E"/>
          <w:sz w:val="22"/>
        </w:rPr>
        <w:t xml:space="preserve">•  </w:t>
      </w:r>
      <w:r>
        <w:rPr>
          <w:rFonts w:ascii="Calibri" w:hAnsi="Calibri"/>
          <w:b/>
          <w:i w:val="0"/>
          <w:sz w:val="22"/>
        </w:rPr>
        <w:t>Barbarismo</w:t>
      </w:r>
      <w:r>
        <w:rPr>
          <w:rFonts w:ascii="Calibri" w:hAnsi="Calibri"/>
          <w:b w:val="0"/>
          <w:i w:val="0"/>
          <w:sz w:val="22"/>
        </w:rPr>
        <w:t>: tecnocrático puro. El score +57 podría dar "holgado" en una recesión profunda con desempleo creciente.</w:t>
      </w:r>
    </w:p>
    <w:p>
      <w:pPr>
        <w:spacing w:before="120" w:after="120"/>
      </w:pPr>
      <w:r>
        <w:rPr>
          <w:rFonts w:ascii="Calibri" w:hAnsi="Calibri"/>
          <w:b/>
          <w:color w:val="3A8FC9"/>
          <w:sz w:val="26"/>
        </w:rPr>
        <w:t>2.2 Política (`03_pestana_politica.md`)</w:t>
      </w:r>
    </w:p>
    <w:p>
      <w:pPr>
        <w:spacing w:after="60"/>
        <w:ind w:left="454" w:hanging="283"/>
      </w:pPr>
      <w:r>
        <w:rPr>
          <w:rFonts w:ascii="Calibri" w:hAnsi="Calibri"/>
          <w:b w:val="0"/>
          <w:color w:val="1E5F9E"/>
          <w:sz w:val="22"/>
        </w:rPr>
        <w:t xml:space="preserve">•  </w:t>
      </w:r>
      <w:r>
        <w:rPr>
          <w:rFonts w:ascii="Calibri" w:hAnsi="Calibri"/>
          <w:b/>
          <w:i w:val="0"/>
          <w:sz w:val="22"/>
        </w:rPr>
        <w:t>Composición sesgada</w:t>
      </w:r>
      <w:r>
        <w:rPr>
          <w:rFonts w:ascii="Calibri" w:hAnsi="Calibri"/>
          <w:b w:val="0"/>
          <w:i w:val="0"/>
          <w:sz w:val="22"/>
        </w:rPr>
        <w:t>: aprobación + Votómetro = 2/4 indicadores, ambos miden lo mismo (popularidad). Falta cohesión del oficialismo, relación con gobernadores, judicialización, confianza institucional.</w:t>
      </w:r>
    </w:p>
    <w:p>
      <w:pPr>
        <w:spacing w:after="60"/>
        <w:ind w:left="454" w:hanging="283"/>
      </w:pPr>
      <w:r>
        <w:rPr>
          <w:rFonts w:ascii="Calibri" w:hAnsi="Calibri"/>
          <w:b w:val="0"/>
          <w:color w:val="1E5F9E"/>
          <w:sz w:val="22"/>
        </w:rPr>
        <w:t xml:space="preserve">•  </w:t>
      </w:r>
      <w:r>
        <w:rPr>
          <w:rFonts w:ascii="Calibri" w:hAnsi="Calibri"/>
          <w:b/>
          <w:i w:val="0"/>
          <w:sz w:val="22"/>
        </w:rPr>
        <w:t>Activo desaprovechado</w:t>
      </w:r>
      <w:r>
        <w:rPr>
          <w:rFonts w:ascii="Calibri" w:hAnsi="Calibri"/>
          <w:b w:val="0"/>
          <w:i w:val="0"/>
          <w:sz w:val="22"/>
        </w:rPr>
        <w:t>: el Votómetro propio de CIGOB ya recolecta datos que el dashboard no explota (imagen comparada de líderes, desagregación provincial).</w:t>
      </w:r>
    </w:p>
    <w:p>
      <w:pPr>
        <w:spacing w:after="60"/>
        <w:ind w:left="454" w:hanging="283"/>
      </w:pPr>
      <w:r>
        <w:rPr>
          <w:rFonts w:ascii="Calibri" w:hAnsi="Calibri"/>
          <w:b w:val="0"/>
          <w:color w:val="1E5F9E"/>
          <w:sz w:val="22"/>
        </w:rPr>
        <w:t xml:space="preserve">•  </w:t>
      </w:r>
      <w:r>
        <w:rPr>
          <w:rFonts w:ascii="Calibri" w:hAnsi="Calibri"/>
          <w:b/>
          <w:i w:val="0"/>
          <w:sz w:val="22"/>
        </w:rPr>
        <w:t>Eficacia legislativa 42% es señal débil</w:t>
      </w:r>
      <w:r>
        <w:rPr>
          <w:rFonts w:ascii="Calibri" w:hAnsi="Calibri"/>
          <w:b w:val="0"/>
          <w:i w:val="0"/>
          <w:sz w:val="22"/>
        </w:rPr>
        <w:t>: hay que complementar con tasa de DNU (gobierno por decreto = pérdida de poder legislativo).</w:t>
      </w:r>
    </w:p>
    <w:p>
      <w:pPr>
        <w:spacing w:after="60"/>
        <w:ind w:left="454" w:hanging="283"/>
      </w:pPr>
      <w:r>
        <w:rPr>
          <w:rFonts w:ascii="Calibri" w:hAnsi="Calibri"/>
          <w:b w:val="0"/>
          <w:color w:val="1E5F9E"/>
          <w:sz w:val="22"/>
        </w:rPr>
        <w:t xml:space="preserve">•  </w:t>
      </w:r>
      <w:r>
        <w:rPr>
          <w:rFonts w:ascii="Calibri" w:hAnsi="Calibri"/>
          <w:b/>
          <w:i w:val="0"/>
          <w:sz w:val="22"/>
        </w:rPr>
        <w:t>Barbarismo</w:t>
      </w:r>
      <w:r>
        <w:rPr>
          <w:rFonts w:ascii="Calibri" w:hAnsi="Calibri"/>
          <w:b w:val="0"/>
          <w:i w:val="0"/>
          <w:sz w:val="22"/>
        </w:rPr>
        <w:t>: político/demagógico (capital político confundido con popularidad). Riesgo paralelo a Macri 2018 / Alberto 2022 (alta popularidad seguida de erosión rápida cuando se rompe coalición o se pierde poder real).</w:t>
      </w:r>
    </w:p>
    <w:p>
      <w:pPr>
        <w:spacing w:before="120" w:after="120"/>
      </w:pPr>
      <w:r>
        <w:rPr>
          <w:rFonts w:ascii="Calibri" w:hAnsi="Calibri"/>
          <w:b/>
          <w:color w:val="3A8FC9"/>
          <w:sz w:val="26"/>
        </w:rPr>
        <w:t>2.3 Vida Cotidiana / Licencia Social (`04_pestana_vida_cotidiana.md`)</w:t>
      </w:r>
    </w:p>
    <w:p>
      <w:pPr>
        <w:spacing w:after="60"/>
        <w:ind w:left="454" w:hanging="283"/>
      </w:pPr>
      <w:r>
        <w:rPr>
          <w:rFonts w:ascii="Calibri" w:hAnsi="Calibri"/>
          <w:b w:val="0"/>
          <w:color w:val="1E5F9E"/>
          <w:sz w:val="22"/>
        </w:rPr>
        <w:t xml:space="preserve">•  </w:t>
      </w:r>
      <w:r>
        <w:rPr>
          <w:rFonts w:ascii="Calibri" w:hAnsi="Calibri"/>
          <w:b/>
          <w:i w:val="0"/>
          <w:sz w:val="22"/>
        </w:rPr>
        <w:t>Renombramiento problemático</w:t>
      </w:r>
      <w:r>
        <w:rPr>
          <w:rFonts w:ascii="Calibri" w:hAnsi="Calibri"/>
          <w:b w:val="0"/>
          <w:i w:val="0"/>
          <w:sz w:val="22"/>
        </w:rPr>
        <w:t>: "Licencia Social" sesga la lectura a consumo y conflictividad. Matus original ("gestión cotidiana") apunta a calidad de vida estructural.</w:t>
      </w:r>
    </w:p>
    <w:p>
      <w:pPr>
        <w:spacing w:after="60"/>
        <w:ind w:left="454" w:hanging="283"/>
      </w:pPr>
      <w:r>
        <w:rPr>
          <w:rFonts w:ascii="Calibri" w:hAnsi="Calibri"/>
          <w:b w:val="0"/>
          <w:color w:val="1E5F9E"/>
          <w:sz w:val="22"/>
        </w:rPr>
        <w:t xml:space="preserve">•  </w:t>
      </w:r>
      <w:r>
        <w:rPr>
          <w:rFonts w:ascii="Calibri" w:hAnsi="Calibri"/>
          <w:b/>
          <w:i w:val="0"/>
          <w:sz w:val="22"/>
        </w:rPr>
        <w:t>Solo 2 de 5 indicadores pertenecen estrictamente al cinturón</w:t>
      </w:r>
      <w:r>
        <w:rPr>
          <w:rFonts w:ascii="Calibri" w:hAnsi="Calibri"/>
          <w:b w:val="0"/>
          <w:i w:val="0"/>
          <w:sz w:val="22"/>
        </w:rPr>
        <w:t xml:space="preserve"> (salario real, conflictividad social). PyME y cemento son proxies de actividad económica que duplican señal con Macro.</w:t>
      </w:r>
    </w:p>
    <w:p>
      <w:pPr>
        <w:spacing w:after="60"/>
        <w:ind w:left="454" w:hanging="283"/>
      </w:pPr>
      <w:r>
        <w:rPr>
          <w:rFonts w:ascii="Calibri" w:hAnsi="Calibri"/>
          <w:b w:val="0"/>
          <w:color w:val="1E5F9E"/>
          <w:sz w:val="22"/>
        </w:rPr>
        <w:t xml:space="preserve">•  </w:t>
      </w:r>
      <w:r>
        <w:rPr>
          <w:rFonts w:ascii="Calibri" w:hAnsi="Calibri"/>
          <w:b/>
          <w:i w:val="0"/>
          <w:sz w:val="22"/>
        </w:rPr>
        <w:t>Faltantes urgentes y de bajo costo</w:t>
      </w:r>
      <w:r>
        <w:rPr>
          <w:rFonts w:ascii="Calibri" w:hAnsi="Calibri"/>
          <w:b w:val="0"/>
          <w:i w:val="0"/>
          <w:sz w:val="22"/>
        </w:rPr>
        <w:t>: pobreza UCA-ODSA, desempleo EPH, homicidios SNIC. Segundo nivel: educación, salud, GINI, vivienda.</w:t>
      </w:r>
    </w:p>
    <w:p>
      <w:pPr>
        <w:spacing w:after="60"/>
        <w:ind w:left="454" w:hanging="283"/>
      </w:pPr>
      <w:r>
        <w:rPr>
          <w:rFonts w:ascii="Calibri" w:hAnsi="Calibri"/>
          <w:b w:val="0"/>
          <w:color w:val="1E5F9E"/>
          <w:sz w:val="22"/>
        </w:rPr>
        <w:t xml:space="preserve">•  </w:t>
      </w:r>
      <w:r>
        <w:rPr>
          <w:rFonts w:ascii="Calibri" w:hAnsi="Calibri"/>
          <w:b/>
          <w:i w:val="0"/>
          <w:sz w:val="22"/>
        </w:rPr>
        <w:t>Barbarismo</w:t>
      </w:r>
      <w:r>
        <w:rPr>
          <w:rFonts w:ascii="Calibri" w:hAnsi="Calibri"/>
          <w:b w:val="0"/>
          <w:i w:val="0"/>
          <w:sz w:val="22"/>
        </w:rPr>
        <w:t>: mezcla político/demagógico-tecnocrática. Tecnocrática por economicismo de los indicadores presentes; político/demagógica por omisión de pobreza, empleo y seguridad — variables donde la gente forma juicio.</w:t>
      </w:r>
    </w:p>
    <w:p>
      <w:pPr>
        <w:spacing w:after="60"/>
        <w:ind w:left="454" w:hanging="283"/>
      </w:pPr>
      <w:r>
        <w:rPr>
          <w:rFonts w:ascii="Calibri" w:hAnsi="Calibri"/>
          <w:b w:val="0"/>
          <w:color w:val="1E5F9E"/>
          <w:sz w:val="22"/>
        </w:rPr>
        <w:t xml:space="preserve">•  </w:t>
      </w:r>
      <w:r>
        <w:rPr>
          <w:rFonts w:ascii="Calibri" w:hAnsi="Calibri"/>
          <w:b/>
          <w:i w:val="0"/>
          <w:sz w:val="22"/>
        </w:rPr>
        <w:t>Recomendación de rediseño</w:t>
      </w:r>
      <w:r>
        <w:rPr>
          <w:rFonts w:ascii="Calibri" w:hAnsi="Calibri"/>
          <w:b w:val="0"/>
          <w:i w:val="0"/>
          <w:sz w:val="22"/>
        </w:rPr>
        <w:t>: rebautizar como "Condición y Tensión Social".</w:t>
      </w:r>
    </w:p>
    <w:p>
      <w:pPr>
        <w:spacing w:before="120" w:after="120"/>
      </w:pPr>
      <w:r>
        <w:rPr>
          <w:rFonts w:ascii="Calibri" w:hAnsi="Calibri"/>
          <w:b/>
          <w:color w:val="3A8FC9"/>
          <w:sz w:val="26"/>
        </w:rPr>
        <w:t>2.4 CIGOB / Gestión (`05_pestana_gestion_cinturon_cigob.md`)</w:t>
      </w:r>
    </w:p>
    <w:p>
      <w:pPr>
        <w:spacing w:after="60"/>
        <w:ind w:left="454" w:hanging="283"/>
      </w:pPr>
      <w:r>
        <w:rPr>
          <w:rFonts w:ascii="Calibri" w:hAnsi="Calibri"/>
          <w:b w:val="0"/>
          <w:color w:val="1E5F9E"/>
          <w:sz w:val="22"/>
        </w:rPr>
        <w:t xml:space="preserve">•  </w:t>
      </w:r>
      <w:r>
        <w:rPr>
          <w:rFonts w:ascii="Calibri" w:hAnsi="Calibri"/>
          <w:b/>
          <w:i w:val="0"/>
          <w:sz w:val="22"/>
        </w:rPr>
        <w:t>Cinturón decorativo</w:t>
      </w:r>
      <w:r>
        <w:rPr>
          <w:rFonts w:ascii="Calibri" w:hAnsi="Calibri"/>
          <w:b w:val="0"/>
          <w:i w:val="0"/>
          <w:sz w:val="22"/>
        </w:rPr>
        <w:t>: 2 indicadores, sin score público, uno (productividad estatal) es compuesto opaco.</w:t>
      </w:r>
    </w:p>
    <w:p>
      <w:pPr>
        <w:spacing w:after="60"/>
        <w:ind w:left="454" w:hanging="283"/>
      </w:pPr>
      <w:r>
        <w:rPr>
          <w:rFonts w:ascii="Calibri" w:hAnsi="Calibri"/>
          <w:b w:val="0"/>
          <w:color w:val="1E5F9E"/>
          <w:sz w:val="22"/>
        </w:rPr>
        <w:t xml:space="preserve">•  </w:t>
      </w:r>
      <w:r>
        <w:rPr>
          <w:rFonts w:ascii="Calibri" w:hAnsi="Calibri"/>
          <w:b/>
          <w:i w:val="0"/>
          <w:sz w:val="22"/>
        </w:rPr>
        <w:t>Es legítimo</w:t>
      </w:r>
      <w:r>
        <w:rPr>
          <w:rFonts w:ascii="Calibri" w:hAnsi="Calibri"/>
          <w:b w:val="0"/>
          <w:i w:val="0"/>
          <w:sz w:val="22"/>
        </w:rPr>
        <w:t xml:space="preserve"> como traducción del juego macroorganizativo (Matus tardío), pero está sub-construido.</w:t>
      </w:r>
    </w:p>
    <w:p>
      <w:pPr>
        <w:spacing w:after="60"/>
        <w:ind w:left="454" w:hanging="283"/>
      </w:pPr>
      <w:r>
        <w:rPr>
          <w:rFonts w:ascii="Calibri" w:hAnsi="Calibri"/>
          <w:b w:val="0"/>
          <w:color w:val="1E5F9E"/>
          <w:sz w:val="22"/>
        </w:rPr>
        <w:t xml:space="preserve">•  </w:t>
      </w:r>
      <w:r>
        <w:rPr>
          <w:rFonts w:ascii="Calibri" w:hAnsi="Calibri"/>
          <w:b/>
          <w:i w:val="0"/>
          <w:sz w:val="22"/>
        </w:rPr>
        <w:t>Es la mayor oportunidad estratégica</w:t>
      </w:r>
      <w:r>
        <w:rPr>
          <w:rFonts w:ascii="Calibri" w:hAnsi="Calibri"/>
          <w:b w:val="0"/>
          <w:i w:val="0"/>
          <w:sz w:val="22"/>
        </w:rPr>
        <w:t xml:space="preserve">: como cinturón vacío en toda la tradición Matus aplicada en Argentina, hay espacio para que CIGOB construya IP propio. Alineado con la misión declarada de la fundación ("transformar la gestión subnacional", </w:t>
      </w:r>
      <w:r>
        <w:rPr>
          <w:rFonts w:ascii="Courier New" w:hAnsi="Courier New"/>
          <w:b w:val="0"/>
          <w:sz w:val="20"/>
        </w:rPr>
        <w:t>docs/El Propósito de la Fundación Cigob.docx</w:t>
      </w:r>
      <w:r>
        <w:rPr>
          <w:rFonts w:ascii="Calibri" w:hAnsi="Calibri"/>
          <w:b w:val="0"/>
          <w:i w:val="0"/>
          <w:sz w:val="22"/>
        </w:rPr>
        <w:t>).</w:t>
      </w:r>
    </w:p>
    <w:p>
      <w:pPr>
        <w:spacing w:after="60"/>
        <w:ind w:left="454" w:hanging="283"/>
      </w:pPr>
      <w:r>
        <w:rPr>
          <w:rFonts w:ascii="Calibri" w:hAnsi="Calibri"/>
          <w:b w:val="0"/>
          <w:color w:val="1E5F9E"/>
          <w:sz w:val="22"/>
        </w:rPr>
        <w:t xml:space="preserve">•  </w:t>
      </w:r>
      <w:r>
        <w:rPr>
          <w:rFonts w:ascii="Calibri" w:hAnsi="Calibri"/>
          <w:b/>
          <w:i w:val="0"/>
          <w:sz w:val="22"/>
        </w:rPr>
        <w:t>Faltantes propuestos en tres niveles</w:t>
      </w:r>
      <w:r>
        <w:rPr>
          <w:rFonts w:ascii="Calibri" w:hAnsi="Calibri"/>
          <w:b w:val="0"/>
          <w:i w:val="0"/>
          <w:sz w:val="22"/>
        </w:rPr>
        <w:t>: (1) datos públicos argentinos (TAD, ejecución presupuestaria, rotación de funcionarios, BAPIN); (2) productos propios CIGOB (índice de planificación subnacional, Estado con sensores vs forense, alineación proyecto-ejecución); (3) referencia internacional (WGI, OBI, B-Ready).</w:t>
      </w:r>
    </w:p>
    <w:p>
      <w:pPr>
        <w:spacing w:after="60"/>
        <w:ind w:left="454" w:hanging="283"/>
      </w:pPr>
      <w:r>
        <w:rPr>
          <w:rFonts w:ascii="Calibri" w:hAnsi="Calibri"/>
          <w:b w:val="0"/>
          <w:color w:val="1E5F9E"/>
          <w:sz w:val="22"/>
        </w:rPr>
        <w:t xml:space="preserve">•  </w:t>
      </w:r>
      <w:r>
        <w:rPr>
          <w:rFonts w:ascii="Calibri" w:hAnsi="Calibri"/>
          <w:b/>
          <w:i w:val="0"/>
          <w:sz w:val="22"/>
        </w:rPr>
        <w:t>Barbarismo</w:t>
      </w:r>
      <w:r>
        <w:rPr>
          <w:rFonts w:ascii="Calibri" w:hAnsi="Calibri"/>
          <w:b w:val="0"/>
          <w:i w:val="0"/>
          <w:sz w:val="22"/>
        </w:rPr>
        <w:t>: gerencial si se sobrepondera, pero hoy el problema es el opuesto — está tan vacío que deja desprotegidos a los otros tres cinturones.</w:t>
      </w:r>
    </w:p>
    <w:p>
      <w:pPr>
        <w:pBdr>
          <w:bottom w:val="single" w:sz="6" w:space="4" w:color="3A8FC9"/>
        </w:pBdr>
        <w:spacing w:before="120" w:after="120"/>
      </w:pPr>
    </w:p>
    <w:p>
      <w:pPr>
        <w:spacing w:before="200" w:after="120"/>
      </w:pPr>
      <w:r>
        <w:rPr>
          <w:rFonts w:ascii="Calibri" w:hAnsi="Calibri"/>
          <w:b/>
          <w:color w:val="1E5F9E"/>
          <w:sz w:val="30"/>
        </w:rPr>
        <w:t>3. Hallazgos metodológicos transversales (`01_marco_metodologico_matusiano.md`)</w:t>
      </w:r>
    </w:p>
    <w:p>
      <w:pPr>
        <w:spacing w:before="120" w:after="120"/>
      </w:pPr>
      <w:r>
        <w:rPr>
          <w:rFonts w:ascii="Calibri" w:hAnsi="Calibri"/>
          <w:b/>
          <w:color w:val="3A8FC9"/>
          <w:sz w:val="26"/>
        </w:rPr>
        <w:t>Lo que el dashboard hace bien</w:t>
      </w:r>
    </w:p>
    <w:p>
      <w:pPr>
        <w:spacing w:after="60"/>
        <w:ind w:left="454" w:hanging="283"/>
      </w:pPr>
      <w:r>
        <w:rPr>
          <w:rFonts w:ascii="Calibri" w:hAnsi="Calibri"/>
          <w:b w:val="0"/>
          <w:color w:val="1E5F9E"/>
          <w:sz w:val="22"/>
        </w:rPr>
        <w:t xml:space="preserve">•  </w:t>
      </w:r>
      <w:r>
        <w:rPr>
          <w:rFonts w:ascii="Calibri" w:hAnsi="Calibri"/>
          <w:b w:val="0"/>
          <w:i w:val="0"/>
          <w:sz w:val="22"/>
        </w:rPr>
        <w:t>Tres cinturones + regla "no apretar los tres" = traducción operativa correcta de Matus 1997.</w:t>
      </w:r>
    </w:p>
    <w:p>
      <w:pPr>
        <w:spacing w:after="60"/>
        <w:ind w:left="454" w:hanging="283"/>
      </w:pPr>
      <w:r>
        <w:rPr>
          <w:rFonts w:ascii="Calibri" w:hAnsi="Calibri"/>
          <w:b w:val="0"/>
          <w:color w:val="1E5F9E"/>
          <w:sz w:val="22"/>
        </w:rPr>
        <w:t xml:space="preserve">•  </w:t>
      </w:r>
      <w:r>
        <w:rPr>
          <w:rFonts w:ascii="Calibri" w:hAnsi="Calibri"/>
          <w:b w:val="0"/>
          <w:i w:val="0"/>
          <w:sz w:val="22"/>
        </w:rPr>
        <w:t>Sistema de semáforo (verde / amarillo / rojo) coincide con la lógica matusiana de presión sistémica.</w:t>
      </w:r>
    </w:p>
    <w:p>
      <w:pPr>
        <w:spacing w:after="60"/>
        <w:ind w:left="454" w:hanging="283"/>
      </w:pPr>
      <w:r>
        <w:rPr>
          <w:rFonts w:ascii="Calibri" w:hAnsi="Calibri"/>
          <w:b w:val="0"/>
          <w:color w:val="1E5F9E"/>
          <w:sz w:val="22"/>
        </w:rPr>
        <w:t xml:space="preserve">•  </w:t>
      </w:r>
      <w:r>
        <w:rPr>
          <w:rFonts w:ascii="Calibri" w:hAnsi="Calibri"/>
          <w:b w:val="0"/>
          <w:i w:val="0"/>
          <w:sz w:val="22"/>
        </w:rPr>
        <w:t>Agregado del 4º cinturón = puente legítimo a Matus tardío.</w:t>
      </w:r>
    </w:p>
    <w:p>
      <w:pPr>
        <w:spacing w:before="120" w:after="120"/>
      </w:pPr>
      <w:r>
        <w:rPr>
          <w:rFonts w:ascii="Calibri" w:hAnsi="Calibri"/>
          <w:b/>
          <w:color w:val="3A8FC9"/>
          <w:sz w:val="26"/>
        </w:rPr>
        <w:t>Lo que falta o pierde valor matusiano</w:t>
      </w:r>
    </w:p>
    <w:p>
      <w:pPr>
        <w:spacing w:after="60"/>
        <w:ind w:left="454" w:hanging="283"/>
      </w:pPr>
      <w:r>
        <w:rPr>
          <w:rFonts w:ascii="Calibri" w:hAnsi="Calibri"/>
          <w:b/>
          <w:color w:val="1A233A"/>
          <w:sz w:val="22"/>
        </w:rPr>
        <w:t xml:space="preserve">1.  </w:t>
      </w:r>
      <w:r>
        <w:rPr>
          <w:rFonts w:ascii="Calibri" w:hAnsi="Calibri"/>
          <w:b/>
          <w:i w:val="0"/>
          <w:sz w:val="22"/>
        </w:rPr>
        <w:t>Score estático</w:t>
      </w:r>
      <w:r>
        <w:rPr>
          <w:rFonts w:ascii="Calibri" w:hAnsi="Calibri"/>
          <w:b w:val="0"/>
          <w:i w:val="0"/>
          <w:sz w:val="22"/>
        </w:rPr>
        <w:t xml:space="preserve">: balance (positivos − negativos)/total no captura </w:t>
      </w:r>
      <w:r>
        <w:rPr>
          <w:rFonts w:ascii="Calibri" w:hAnsi="Calibri"/>
          <w:b/>
          <w:i w:val="0"/>
          <w:sz w:val="22"/>
        </w:rPr>
        <w:t>dirección</w:t>
      </w:r>
      <w:r>
        <w:rPr>
          <w:rFonts w:ascii="Calibri" w:hAnsi="Calibri"/>
          <w:b w:val="0"/>
          <w:i w:val="0"/>
          <w:sz w:val="22"/>
        </w:rPr>
        <w:t xml:space="preserve"> (mejora/empeora), </w:t>
      </w:r>
      <w:r>
        <w:rPr>
          <w:rFonts w:ascii="Calibri" w:hAnsi="Calibri"/>
          <w:b/>
          <w:i w:val="0"/>
          <w:sz w:val="22"/>
        </w:rPr>
        <w:t>velocidad</w:t>
      </w:r>
      <w:r>
        <w:rPr>
          <w:rFonts w:ascii="Calibri" w:hAnsi="Calibri"/>
          <w:b w:val="0"/>
          <w:i w:val="0"/>
          <w:sz w:val="22"/>
        </w:rPr>
        <w:t xml:space="preserve"> (tasa de cambio) ni </w:t>
      </w:r>
      <w:r>
        <w:rPr>
          <w:rFonts w:ascii="Calibri" w:hAnsi="Calibri"/>
          <w:b/>
          <w:i w:val="0"/>
          <w:sz w:val="22"/>
        </w:rPr>
        <w:t>interacción</w:t>
      </w:r>
      <w:r>
        <w:rPr>
          <w:rFonts w:ascii="Calibri" w:hAnsi="Calibri"/>
          <w:b w:val="0"/>
          <w:i w:val="0"/>
          <w:sz w:val="22"/>
        </w:rPr>
        <w:t xml:space="preserve"> entre cinturones.</w:t>
      </w:r>
    </w:p>
    <w:p>
      <w:pPr>
        <w:spacing w:after="60"/>
        <w:ind w:left="454" w:hanging="283"/>
      </w:pPr>
      <w:r>
        <w:rPr>
          <w:rFonts w:ascii="Calibri" w:hAnsi="Calibri"/>
          <w:b/>
          <w:color w:val="1A233A"/>
          <w:sz w:val="22"/>
        </w:rPr>
        <w:t xml:space="preserve">2.  </w:t>
      </w:r>
      <w:r>
        <w:rPr>
          <w:rFonts w:ascii="Calibri" w:hAnsi="Calibri"/>
          <w:b/>
          <w:i w:val="0"/>
          <w:sz w:val="22"/>
        </w:rPr>
        <w:t>No publica fórmulas exactas</w:t>
      </w:r>
      <w:r>
        <w:rPr>
          <w:rFonts w:ascii="Calibri" w:hAnsi="Calibri"/>
          <w:b w:val="0"/>
          <w:i w:val="0"/>
          <w:sz w:val="22"/>
        </w:rPr>
        <w:t xml:space="preserve"> de los compuestos opacos (conflictividad política, conflictividad social, productividad estatal). Tres puntos prioritarios de transparencia.</w:t>
      </w:r>
    </w:p>
    <w:p>
      <w:pPr>
        <w:spacing w:after="60"/>
        <w:ind w:left="454" w:hanging="283"/>
      </w:pPr>
      <w:r>
        <w:rPr>
          <w:rFonts w:ascii="Calibri" w:hAnsi="Calibri"/>
          <w:b/>
          <w:color w:val="1A233A"/>
          <w:sz w:val="22"/>
        </w:rPr>
        <w:t xml:space="preserve">3.  </w:t>
      </w:r>
      <w:r>
        <w:rPr>
          <w:rFonts w:ascii="Calibri" w:hAnsi="Calibri"/>
          <w:b/>
          <w:i w:val="0"/>
          <w:sz w:val="22"/>
        </w:rPr>
        <w:t>Stocks y flujos mezclados sin distinguir</w:t>
      </w:r>
      <w:r>
        <w:rPr>
          <w:rFonts w:ascii="Calibri" w:hAnsi="Calibri"/>
          <w:b w:val="0"/>
          <w:i w:val="0"/>
          <w:sz w:val="22"/>
        </w:rPr>
        <w:t xml:space="preserve"> dentro de un mismo score (aprobación es stock, IPC mensual es flujo).</w:t>
      </w:r>
    </w:p>
    <w:p>
      <w:pPr>
        <w:spacing w:after="60"/>
        <w:ind w:left="454" w:hanging="283"/>
      </w:pPr>
      <w:r>
        <w:rPr>
          <w:rFonts w:ascii="Calibri" w:hAnsi="Calibri"/>
          <w:b/>
          <w:color w:val="1A233A"/>
          <w:sz w:val="22"/>
        </w:rPr>
        <w:t xml:space="preserve">4.  </w:t>
      </w:r>
      <w:r>
        <w:rPr>
          <w:rFonts w:ascii="Calibri" w:hAnsi="Calibri"/>
          <w:b/>
          <w:i w:val="0"/>
          <w:sz w:val="22"/>
        </w:rPr>
        <w:t>Capital político no aparece como variable transversal</w:t>
      </w:r>
      <w:r>
        <w:rPr>
          <w:rFonts w:ascii="Calibri" w:hAnsi="Calibri"/>
          <w:b w:val="0"/>
          <w:i w:val="0"/>
          <w:sz w:val="22"/>
        </w:rPr>
        <w:t xml:space="preserve"> — concepto central en Matus.</w:t>
      </w:r>
    </w:p>
    <w:p>
      <w:pPr>
        <w:spacing w:after="60"/>
        <w:ind w:left="454" w:hanging="283"/>
      </w:pPr>
      <w:r>
        <w:rPr>
          <w:rFonts w:ascii="Calibri" w:hAnsi="Calibri"/>
          <w:b/>
          <w:color w:val="1A233A"/>
          <w:sz w:val="22"/>
        </w:rPr>
        <w:t xml:space="preserve">5.  </w:t>
      </w:r>
      <w:r>
        <w:rPr>
          <w:rFonts w:ascii="Calibri" w:hAnsi="Calibri"/>
          <w:b/>
          <w:i w:val="0"/>
          <w:sz w:val="22"/>
        </w:rPr>
        <w:t>Triángulo de Gobierno incompleto</w:t>
      </w:r>
      <w:r>
        <w:rPr>
          <w:rFonts w:ascii="Calibri" w:hAnsi="Calibri"/>
          <w:b w:val="0"/>
          <w:i w:val="0"/>
          <w:sz w:val="22"/>
        </w:rPr>
        <w:t>: el dashboard mide bien gobernabilidad (el entorno), parcialmente proyecto (objetivos vs ejecución apenas roza el cinturón CIGOB) y NO mide capacidad de gobierno — paradójico, porque ese sería el aporte diferencial de la fundación.</w:t>
      </w:r>
    </w:p>
    <w:p>
      <w:pPr>
        <w:spacing w:after="60"/>
        <w:ind w:left="454" w:hanging="283"/>
      </w:pPr>
      <w:r>
        <w:rPr>
          <w:rFonts w:ascii="Calibri" w:hAnsi="Calibri"/>
          <w:b/>
          <w:color w:val="1A233A"/>
          <w:sz w:val="22"/>
        </w:rPr>
        <w:t xml:space="preserve">6.  </w:t>
      </w:r>
      <w:r>
        <w:rPr>
          <w:rFonts w:ascii="Calibri" w:hAnsi="Calibri"/>
          <w:b/>
          <w:i w:val="0"/>
          <w:sz w:val="22"/>
        </w:rPr>
        <w:t>No hay versión histórica retrospectiva</w:t>
      </w:r>
      <w:r>
        <w:rPr>
          <w:rFonts w:ascii="Calibri" w:hAnsi="Calibri"/>
          <w:b w:val="0"/>
          <w:i w:val="0"/>
          <w:sz w:val="22"/>
        </w:rPr>
        <w:t>: aplicar el método a gobiernos anteriores serviría como calibración.</w:t>
      </w:r>
    </w:p>
    <w:p>
      <w:pPr>
        <w:spacing w:before="120" w:after="120"/>
      </w:pPr>
      <w:r>
        <w:rPr>
          <w:rFonts w:ascii="Calibri" w:hAnsi="Calibri"/>
          <w:b/>
          <w:color w:val="3A8FC9"/>
          <w:sz w:val="26"/>
        </w:rPr>
        <w:t>Siete mejoras concretas propuestas</w:t>
      </w:r>
    </w:p>
    <w:p>
      <w:pPr>
        <w:spacing w:after="60"/>
        <w:ind w:left="454" w:hanging="283"/>
      </w:pPr>
      <w:r>
        <w:rPr>
          <w:rFonts w:ascii="Calibri" w:hAnsi="Calibri"/>
          <w:b/>
          <w:color w:val="1A233A"/>
          <w:sz w:val="22"/>
        </w:rPr>
        <w:t xml:space="preserve">1.  </w:t>
      </w:r>
      <w:r>
        <w:rPr>
          <w:rFonts w:ascii="Calibri" w:hAnsi="Calibri"/>
          <w:b w:val="0"/>
          <w:i w:val="0"/>
          <w:sz w:val="22"/>
        </w:rPr>
        <w:t>Agregar deltas (variación 30/90/365 días) por indicador.</w:t>
      </w:r>
    </w:p>
    <w:p>
      <w:pPr>
        <w:spacing w:after="60"/>
        <w:ind w:left="454" w:hanging="283"/>
      </w:pPr>
      <w:r>
        <w:rPr>
          <w:rFonts w:ascii="Calibri" w:hAnsi="Calibri"/>
          <w:b/>
          <w:color w:val="1A233A"/>
          <w:sz w:val="22"/>
        </w:rPr>
        <w:t xml:space="preserve">2.  </w:t>
      </w:r>
      <w:r>
        <w:rPr>
          <w:rFonts w:ascii="Calibri" w:hAnsi="Calibri"/>
          <w:b w:val="0"/>
          <w:i w:val="0"/>
          <w:sz w:val="22"/>
        </w:rPr>
        <w:t>Ponderar indicadores dentro de cada cinturón (no todos los 7 macro pesan igual).</w:t>
      </w:r>
    </w:p>
    <w:p>
      <w:pPr>
        <w:spacing w:after="60"/>
        <w:ind w:left="454" w:hanging="283"/>
      </w:pPr>
      <w:r>
        <w:rPr>
          <w:rFonts w:ascii="Calibri" w:hAnsi="Calibri"/>
          <w:b/>
          <w:color w:val="1A233A"/>
          <w:sz w:val="22"/>
        </w:rPr>
        <w:t xml:space="preserve">3.  </w:t>
      </w:r>
      <w:r>
        <w:rPr>
          <w:rFonts w:ascii="Calibri" w:hAnsi="Calibri"/>
          <w:b w:val="0"/>
          <w:i w:val="0"/>
          <w:sz w:val="22"/>
        </w:rPr>
        <w:t>Matriz de interacción entre cinturones (cuánto un apriete en uno presiona los otros).</w:t>
      </w:r>
    </w:p>
    <w:p>
      <w:pPr>
        <w:spacing w:after="60"/>
        <w:ind w:left="454" w:hanging="283"/>
      </w:pPr>
      <w:r>
        <w:rPr>
          <w:rFonts w:ascii="Calibri" w:hAnsi="Calibri"/>
          <w:b/>
          <w:color w:val="1A233A"/>
          <w:sz w:val="22"/>
        </w:rPr>
        <w:t xml:space="preserve">4.  </w:t>
      </w:r>
      <w:r>
        <w:rPr>
          <w:rFonts w:ascii="Calibri" w:hAnsi="Calibri"/>
          <w:b w:val="0"/>
          <w:i w:val="0"/>
          <w:sz w:val="22"/>
        </w:rPr>
        <w:t>Publicar metodología de los compuestos opacos.</w:t>
      </w:r>
    </w:p>
    <w:p>
      <w:pPr>
        <w:spacing w:after="60"/>
        <w:ind w:left="454" w:hanging="283"/>
      </w:pPr>
      <w:r>
        <w:rPr>
          <w:rFonts w:ascii="Calibri" w:hAnsi="Calibri"/>
          <w:b/>
          <w:color w:val="1A233A"/>
          <w:sz w:val="22"/>
        </w:rPr>
        <w:t xml:space="preserve">5.  </w:t>
      </w:r>
      <w:r>
        <w:rPr>
          <w:rFonts w:ascii="Calibri" w:hAnsi="Calibri"/>
          <w:b w:val="0"/>
          <w:i w:val="0"/>
          <w:sz w:val="22"/>
        </w:rPr>
        <w:t>Agregar pestaña Triángulo de Gobierno completa.</w:t>
      </w:r>
    </w:p>
    <w:p>
      <w:pPr>
        <w:spacing w:after="60"/>
        <w:ind w:left="454" w:hanging="283"/>
      </w:pPr>
      <w:r>
        <w:rPr>
          <w:rFonts w:ascii="Calibri" w:hAnsi="Calibri"/>
          <w:b/>
          <w:color w:val="1A233A"/>
          <w:sz w:val="22"/>
        </w:rPr>
        <w:t xml:space="preserve">6.  </w:t>
      </w:r>
      <w:r>
        <w:rPr>
          <w:rFonts w:ascii="Calibri" w:hAnsi="Calibri"/>
          <w:b w:val="0"/>
          <w:i w:val="0"/>
          <w:sz w:val="22"/>
        </w:rPr>
        <w:t>Agregar dashboard de barbarismos (qué patología sistemática está cometiendo el gobierno).</w:t>
      </w:r>
    </w:p>
    <w:p>
      <w:pPr>
        <w:spacing w:after="60"/>
        <w:ind w:left="454" w:hanging="283"/>
      </w:pPr>
      <w:r>
        <w:rPr>
          <w:rFonts w:ascii="Calibri" w:hAnsi="Calibri"/>
          <w:b/>
          <w:color w:val="1A233A"/>
          <w:sz w:val="22"/>
        </w:rPr>
        <w:t xml:space="preserve">7.  </w:t>
      </w:r>
      <w:r>
        <w:rPr>
          <w:rFonts w:ascii="Calibri" w:hAnsi="Calibri"/>
          <w:b w:val="0"/>
          <w:i w:val="0"/>
          <w:sz w:val="22"/>
        </w:rPr>
        <w:t>Construir versión histórica del cuadro 1983–2023 como calibración.</w:t>
      </w:r>
    </w:p>
    <w:p>
      <w:pPr>
        <w:pBdr>
          <w:bottom w:val="single" w:sz="6" w:space="4" w:color="3A8FC9"/>
        </w:pBdr>
        <w:spacing w:before="120" w:after="120"/>
      </w:pPr>
    </w:p>
    <w:p>
      <w:pPr>
        <w:spacing w:before="200" w:after="120"/>
      </w:pPr>
      <w:r>
        <w:rPr>
          <w:rFonts w:ascii="Calibri" w:hAnsi="Calibri"/>
          <w:b/>
          <w:color w:val="1E5F9E"/>
          <w:sz w:val="30"/>
        </w:rPr>
        <w:t>4. Inventario consolidado de indicadores</w:t>
      </w:r>
    </w:p>
    <w:p>
      <w:pPr>
        <w:spacing w:before="120" w:after="120"/>
      </w:pPr>
      <w:r>
        <w:rPr>
          <w:rFonts w:ascii="Calibri" w:hAnsi="Calibri"/>
          <w:b/>
          <w:color w:val="3A8FC9"/>
          <w:sz w:val="26"/>
        </w:rPr>
        <w:t>Presentes (18 + síntesis)</w:t>
      </w:r>
    </w:p>
    <w:tbl>
      <w:tblPr>
        <w:tblStyle w:val="TableGrid"/>
        <w:tblW w:type="auto" w:w="0"/>
        <w:jc w:val="left"/>
        <w:tblLook w:firstColumn="1" w:firstRow="1" w:lastColumn="0" w:lastRow="0" w:noHBand="0" w:noVBand="1" w:val="04A0"/>
      </w:tblPr>
      <w:tblGrid>
        <w:gridCol w:w="2911"/>
        <w:gridCol w:w="2911"/>
        <w:gridCol w:w="2911"/>
      </w:tblGrid>
      <w:tr>
        <w:tc>
          <w:tcPr>
            <w:tcW w:type="dxa" w:w="2911"/>
            <w:vAlign w:val="center"/>
            <w:shd w:val="clear" w:color="auto" w:fill="1E5F9E"/>
          </w:tcPr>
          <w:p>
            <w:pPr>
              <w:spacing w:before="80" w:after="80"/>
            </w:pPr>
            <w:r>
              <w:rPr>
                <w:rFonts w:ascii="Calibri" w:hAnsi="Calibri"/>
                <w:b/>
                <w:color w:val="FFFFFF"/>
                <w:sz w:val="20"/>
              </w:rPr>
              <w:t>Cinturón</w:t>
            </w:r>
          </w:p>
        </w:tc>
        <w:tc>
          <w:tcPr>
            <w:tcW w:type="dxa" w:w="2911"/>
            <w:vAlign w:val="center"/>
            <w:shd w:val="clear" w:color="auto" w:fill="1E5F9E"/>
          </w:tcPr>
          <w:p>
            <w:pPr>
              <w:spacing w:before="80" w:after="80"/>
            </w:pPr>
            <w:r>
              <w:rPr>
                <w:rFonts w:ascii="Calibri" w:hAnsi="Calibri"/>
                <w:b/>
                <w:color w:val="FFFFFF"/>
                <w:sz w:val="20"/>
              </w:rPr>
              <w:t>Indicador</w:t>
            </w:r>
          </w:p>
        </w:tc>
        <w:tc>
          <w:tcPr>
            <w:tcW w:type="dxa" w:w="2911"/>
            <w:vAlign w:val="center"/>
            <w:shd w:val="clear" w:color="auto" w:fill="1E5F9E"/>
          </w:tcPr>
          <w:p>
            <w:pPr>
              <w:spacing w:before="80" w:after="80"/>
            </w:pPr>
            <w:r>
              <w:rPr>
                <w:rFonts w:ascii="Calibri" w:hAnsi="Calibri"/>
                <w:b/>
                <w:color w:val="FFFFFF"/>
                <w:sz w:val="20"/>
              </w:rPr>
              <w:t>Valor</w:t>
            </w:r>
          </w:p>
        </w:tc>
      </w:tr>
      <w:tr>
        <w:tc>
          <w:tcPr>
            <w:tcW w:type="dxa" w:w="2911"/>
            <w:vAlign w:val="center"/>
          </w:tcPr>
          <w:p>
            <w:pPr>
              <w:spacing w:before="60" w:after="60"/>
            </w:pPr>
            <w:r>
              <w:rPr>
                <w:rFonts w:ascii="Calibri" w:hAnsi="Calibri"/>
                <w:color w:val="1A233A"/>
                <w:sz w:val="19"/>
              </w:rPr>
              <w:t>Macro</w:t>
            </w:r>
          </w:p>
        </w:tc>
        <w:tc>
          <w:tcPr>
            <w:tcW w:type="dxa" w:w="2911"/>
            <w:vAlign w:val="center"/>
          </w:tcPr>
          <w:p>
            <w:pPr>
              <w:spacing w:before="60" w:after="60"/>
            </w:pPr>
            <w:r>
              <w:rPr>
                <w:rFonts w:ascii="Calibri" w:hAnsi="Calibri"/>
                <w:color w:val="1A233A"/>
                <w:sz w:val="19"/>
              </w:rPr>
              <w:t>Resultado fiscal primario</w:t>
            </w:r>
          </w:p>
        </w:tc>
        <w:tc>
          <w:tcPr>
            <w:tcW w:type="dxa" w:w="2911"/>
            <w:vAlign w:val="center"/>
          </w:tcPr>
          <w:p>
            <w:pPr>
              <w:spacing w:before="60" w:after="60"/>
            </w:pPr>
            <w:r>
              <w:rPr>
                <w:rFonts w:ascii="Calibri" w:hAnsi="Calibri"/>
                <w:color w:val="1A233A"/>
                <w:sz w:val="19"/>
              </w:rPr>
              <w:t>+297 B$ mes</w:t>
            </w:r>
          </w:p>
        </w:tc>
      </w:tr>
      <w:tr>
        <w:tc>
          <w:tcPr>
            <w:tcW w:type="dxa" w:w="2911"/>
            <w:vAlign w:val="center"/>
            <w:shd w:val="clear" w:color="auto" w:fill="EBF4FD"/>
          </w:tcPr>
          <w:p>
            <w:pPr>
              <w:spacing w:before="60" w:after="60"/>
            </w:pPr>
            <w:r>
              <w:rPr>
                <w:rFonts w:ascii="Calibri" w:hAnsi="Calibri"/>
                <w:color w:val="1A233A"/>
                <w:sz w:val="19"/>
              </w:rPr>
              <w:t>Macro</w:t>
            </w:r>
          </w:p>
        </w:tc>
        <w:tc>
          <w:tcPr>
            <w:tcW w:type="dxa" w:w="2911"/>
            <w:vAlign w:val="center"/>
            <w:shd w:val="clear" w:color="auto" w:fill="EBF4FD"/>
          </w:tcPr>
          <w:p>
            <w:pPr>
              <w:spacing w:before="60" w:after="60"/>
            </w:pPr>
            <w:r>
              <w:rPr>
                <w:rFonts w:ascii="Calibri" w:hAnsi="Calibri"/>
                <w:color w:val="1A233A"/>
                <w:sz w:val="19"/>
              </w:rPr>
              <w:t>Brecha cambiaria</w:t>
            </w:r>
          </w:p>
        </w:tc>
        <w:tc>
          <w:tcPr>
            <w:tcW w:type="dxa" w:w="2911"/>
            <w:vAlign w:val="center"/>
            <w:shd w:val="clear" w:color="auto" w:fill="EBF4FD"/>
          </w:tcPr>
          <w:p>
            <w:pPr>
              <w:spacing w:before="60" w:after="60"/>
            </w:pPr>
            <w:r>
              <w:rPr>
                <w:rFonts w:ascii="Calibri" w:hAnsi="Calibri"/>
                <w:color w:val="1A233A"/>
                <w:sz w:val="19"/>
              </w:rPr>
              <w:t>5,6%</w:t>
            </w:r>
          </w:p>
        </w:tc>
      </w:tr>
      <w:tr>
        <w:tc>
          <w:tcPr>
            <w:tcW w:type="dxa" w:w="2911"/>
            <w:vAlign w:val="center"/>
          </w:tcPr>
          <w:p>
            <w:pPr>
              <w:spacing w:before="60" w:after="60"/>
            </w:pPr>
            <w:r>
              <w:rPr>
                <w:rFonts w:ascii="Calibri" w:hAnsi="Calibri"/>
                <w:color w:val="1A233A"/>
                <w:sz w:val="19"/>
              </w:rPr>
              <w:t>Macro</w:t>
            </w:r>
          </w:p>
        </w:tc>
        <w:tc>
          <w:tcPr>
            <w:tcW w:type="dxa" w:w="2911"/>
            <w:vAlign w:val="center"/>
          </w:tcPr>
          <w:p>
            <w:pPr>
              <w:spacing w:before="60" w:after="60"/>
            </w:pPr>
            <w:r>
              <w:rPr>
                <w:rFonts w:ascii="Calibri" w:hAnsi="Calibri"/>
                <w:color w:val="1A233A"/>
                <w:sz w:val="19"/>
              </w:rPr>
              <w:t>ITCRM</w:t>
            </w:r>
          </w:p>
        </w:tc>
        <w:tc>
          <w:tcPr>
            <w:tcW w:type="dxa" w:w="2911"/>
            <w:vAlign w:val="center"/>
          </w:tcPr>
          <w:p>
            <w:pPr>
              <w:spacing w:before="60" w:after="60"/>
            </w:pPr>
            <w:r>
              <w:rPr>
                <w:rFonts w:ascii="Calibri" w:hAnsi="Calibri"/>
                <w:color w:val="1A233A"/>
                <w:sz w:val="19"/>
              </w:rPr>
              <w:t>94,5</w:t>
            </w:r>
          </w:p>
        </w:tc>
      </w:tr>
      <w:tr>
        <w:tc>
          <w:tcPr>
            <w:tcW w:type="dxa" w:w="2911"/>
            <w:vAlign w:val="center"/>
            <w:shd w:val="clear" w:color="auto" w:fill="EBF4FD"/>
          </w:tcPr>
          <w:p>
            <w:pPr>
              <w:spacing w:before="60" w:after="60"/>
            </w:pPr>
            <w:r>
              <w:rPr>
                <w:rFonts w:ascii="Calibri" w:hAnsi="Calibri"/>
                <w:color w:val="1A233A"/>
                <w:sz w:val="19"/>
              </w:rPr>
              <w:t>Macro</w:t>
            </w:r>
          </w:p>
        </w:tc>
        <w:tc>
          <w:tcPr>
            <w:tcW w:type="dxa" w:w="2911"/>
            <w:vAlign w:val="center"/>
            <w:shd w:val="clear" w:color="auto" w:fill="EBF4FD"/>
          </w:tcPr>
          <w:p>
            <w:pPr>
              <w:spacing w:before="60" w:after="60"/>
            </w:pPr>
            <w:r>
              <w:rPr>
                <w:rFonts w:ascii="Calibri" w:hAnsi="Calibri"/>
                <w:color w:val="1A233A"/>
                <w:sz w:val="19"/>
              </w:rPr>
              <w:t>Saldo comercial</w:t>
            </w:r>
          </w:p>
        </w:tc>
        <w:tc>
          <w:tcPr>
            <w:tcW w:type="dxa" w:w="2911"/>
            <w:vAlign w:val="center"/>
            <w:shd w:val="clear" w:color="auto" w:fill="EBF4FD"/>
          </w:tcPr>
          <w:p>
            <w:pPr>
              <w:spacing w:before="60" w:after="60"/>
            </w:pPr>
            <w:r>
              <w:rPr>
                <w:rFonts w:ascii="Calibri" w:hAnsi="Calibri"/>
                <w:color w:val="1A233A"/>
                <w:sz w:val="19"/>
              </w:rPr>
              <w:t>USD +788 M</w:t>
            </w:r>
          </w:p>
        </w:tc>
      </w:tr>
      <w:tr>
        <w:tc>
          <w:tcPr>
            <w:tcW w:type="dxa" w:w="2911"/>
            <w:vAlign w:val="center"/>
          </w:tcPr>
          <w:p>
            <w:pPr>
              <w:spacing w:before="60" w:after="60"/>
            </w:pPr>
            <w:r>
              <w:rPr>
                <w:rFonts w:ascii="Calibri" w:hAnsi="Calibri"/>
                <w:color w:val="1A233A"/>
                <w:sz w:val="19"/>
              </w:rPr>
              <w:t>Macro</w:t>
            </w:r>
          </w:p>
        </w:tc>
        <w:tc>
          <w:tcPr>
            <w:tcW w:type="dxa" w:w="2911"/>
            <w:vAlign w:val="center"/>
          </w:tcPr>
          <w:p>
            <w:pPr>
              <w:spacing w:before="60" w:after="60"/>
            </w:pPr>
            <w:r>
              <w:rPr>
                <w:rFonts w:ascii="Calibri" w:hAnsi="Calibri"/>
                <w:color w:val="1A233A"/>
                <w:sz w:val="19"/>
              </w:rPr>
              <w:t>EMBI+</w:t>
            </w:r>
          </w:p>
        </w:tc>
        <w:tc>
          <w:tcPr>
            <w:tcW w:type="dxa" w:w="2911"/>
            <w:vAlign w:val="center"/>
          </w:tcPr>
          <w:p>
            <w:pPr>
              <w:spacing w:before="60" w:after="60"/>
            </w:pPr>
            <w:r>
              <w:rPr>
                <w:rFonts w:ascii="Calibri" w:hAnsi="Calibri"/>
                <w:color w:val="1A233A"/>
                <w:sz w:val="19"/>
              </w:rPr>
              <w:t>539 pb</w:t>
            </w:r>
          </w:p>
        </w:tc>
      </w:tr>
      <w:tr>
        <w:tc>
          <w:tcPr>
            <w:tcW w:type="dxa" w:w="2911"/>
            <w:vAlign w:val="center"/>
            <w:shd w:val="clear" w:color="auto" w:fill="EBF4FD"/>
          </w:tcPr>
          <w:p>
            <w:pPr>
              <w:spacing w:before="60" w:after="60"/>
            </w:pPr>
            <w:r>
              <w:rPr>
                <w:rFonts w:ascii="Calibri" w:hAnsi="Calibri"/>
                <w:color w:val="1A233A"/>
                <w:sz w:val="19"/>
              </w:rPr>
              <w:t>Macro</w:t>
            </w:r>
          </w:p>
        </w:tc>
        <w:tc>
          <w:tcPr>
            <w:tcW w:type="dxa" w:w="2911"/>
            <w:vAlign w:val="center"/>
            <w:shd w:val="clear" w:color="auto" w:fill="EBF4FD"/>
          </w:tcPr>
          <w:p>
            <w:pPr>
              <w:spacing w:before="60" w:after="60"/>
            </w:pPr>
            <w:r>
              <w:rPr>
                <w:rFonts w:ascii="Calibri" w:hAnsi="Calibri"/>
                <w:color w:val="1A233A"/>
                <w:sz w:val="19"/>
              </w:rPr>
              <w:t>IPC</w:t>
            </w:r>
          </w:p>
        </w:tc>
        <w:tc>
          <w:tcPr>
            <w:tcW w:type="dxa" w:w="2911"/>
            <w:vAlign w:val="center"/>
            <w:shd w:val="clear" w:color="auto" w:fill="EBF4FD"/>
          </w:tcPr>
          <w:p>
            <w:pPr>
              <w:spacing w:before="60" w:after="60"/>
            </w:pPr>
            <w:r>
              <w:rPr>
                <w:rFonts w:ascii="Calibri" w:hAnsi="Calibri"/>
                <w:color w:val="1A233A"/>
                <w:sz w:val="19"/>
              </w:rPr>
              <w:t>3,4% mes / 32,6% i.a.</w:t>
            </w:r>
          </w:p>
        </w:tc>
      </w:tr>
      <w:tr>
        <w:tc>
          <w:tcPr>
            <w:tcW w:type="dxa" w:w="2911"/>
            <w:vAlign w:val="center"/>
          </w:tcPr>
          <w:p>
            <w:pPr>
              <w:spacing w:before="60" w:after="60"/>
            </w:pPr>
            <w:r>
              <w:rPr>
                <w:rFonts w:ascii="Calibri" w:hAnsi="Calibri"/>
                <w:color w:val="1A233A"/>
                <w:sz w:val="19"/>
              </w:rPr>
              <w:t>Macro</w:t>
            </w:r>
          </w:p>
        </w:tc>
        <w:tc>
          <w:tcPr>
            <w:tcW w:type="dxa" w:w="2911"/>
            <w:vAlign w:val="center"/>
          </w:tcPr>
          <w:p>
            <w:pPr>
              <w:spacing w:before="60" w:after="60"/>
            </w:pPr>
            <w:r>
              <w:rPr>
                <w:rFonts w:ascii="Calibri" w:hAnsi="Calibri"/>
                <w:color w:val="1A233A"/>
                <w:sz w:val="19"/>
              </w:rPr>
              <w:t>Reservas BCRA</w:t>
            </w:r>
          </w:p>
        </w:tc>
        <w:tc>
          <w:tcPr>
            <w:tcW w:type="dxa" w:w="2911"/>
            <w:vAlign w:val="center"/>
          </w:tcPr>
          <w:p>
            <w:pPr>
              <w:spacing w:before="60" w:after="60"/>
            </w:pPr>
            <w:r>
              <w:rPr>
                <w:rFonts w:ascii="Calibri" w:hAnsi="Calibri"/>
                <w:color w:val="1A233A"/>
                <w:sz w:val="19"/>
              </w:rPr>
              <w:t>USD 41,1 mM</w:t>
            </w:r>
          </w:p>
        </w:tc>
      </w:tr>
      <w:tr>
        <w:tc>
          <w:tcPr>
            <w:tcW w:type="dxa" w:w="2911"/>
            <w:vAlign w:val="center"/>
            <w:shd w:val="clear" w:color="auto" w:fill="EBF4FD"/>
          </w:tcPr>
          <w:p>
            <w:pPr>
              <w:spacing w:before="60" w:after="60"/>
            </w:pPr>
            <w:r>
              <w:rPr>
                <w:rFonts w:ascii="Calibri" w:hAnsi="Calibri"/>
                <w:color w:val="1A233A"/>
                <w:sz w:val="19"/>
              </w:rPr>
              <w:t>Política</w:t>
            </w:r>
          </w:p>
        </w:tc>
        <w:tc>
          <w:tcPr>
            <w:tcW w:type="dxa" w:w="2911"/>
            <w:vAlign w:val="center"/>
            <w:shd w:val="clear" w:color="auto" w:fill="EBF4FD"/>
          </w:tcPr>
          <w:p>
            <w:pPr>
              <w:spacing w:before="60" w:after="60"/>
            </w:pPr>
            <w:r>
              <w:rPr>
                <w:rFonts w:ascii="Calibri" w:hAnsi="Calibri"/>
                <w:color w:val="1A233A"/>
                <w:sz w:val="19"/>
              </w:rPr>
              <w:t>Aprobación gobierno</w:t>
            </w:r>
          </w:p>
        </w:tc>
        <w:tc>
          <w:tcPr>
            <w:tcW w:type="dxa" w:w="2911"/>
            <w:vAlign w:val="center"/>
            <w:shd w:val="clear" w:color="auto" w:fill="EBF4FD"/>
          </w:tcPr>
          <w:p>
            <w:pPr>
              <w:spacing w:before="60" w:after="60"/>
            </w:pPr>
            <w:r>
              <w:rPr>
                <w:rFonts w:ascii="Calibri" w:hAnsi="Calibri"/>
                <w:color w:val="1A233A"/>
                <w:sz w:val="19"/>
              </w:rPr>
              <w:t>+8 pp</w:t>
            </w:r>
          </w:p>
        </w:tc>
      </w:tr>
      <w:tr>
        <w:tc>
          <w:tcPr>
            <w:tcW w:type="dxa" w:w="2911"/>
            <w:vAlign w:val="center"/>
          </w:tcPr>
          <w:p>
            <w:pPr>
              <w:spacing w:before="60" w:after="60"/>
            </w:pPr>
            <w:r>
              <w:rPr>
                <w:rFonts w:ascii="Calibri" w:hAnsi="Calibri"/>
                <w:color w:val="1A233A"/>
                <w:sz w:val="19"/>
              </w:rPr>
              <w:t>Política</w:t>
            </w:r>
          </w:p>
        </w:tc>
        <w:tc>
          <w:tcPr>
            <w:tcW w:type="dxa" w:w="2911"/>
            <w:vAlign w:val="center"/>
          </w:tcPr>
          <w:p>
            <w:pPr>
              <w:spacing w:before="60" w:after="60"/>
            </w:pPr>
            <w:r>
              <w:rPr>
                <w:rFonts w:ascii="Calibri" w:hAnsi="Calibri"/>
                <w:color w:val="1A233A"/>
                <w:sz w:val="19"/>
              </w:rPr>
              <w:t>Votómetro 2027</w:t>
            </w:r>
          </w:p>
        </w:tc>
        <w:tc>
          <w:tcPr>
            <w:tcW w:type="dxa" w:w="2911"/>
            <w:vAlign w:val="center"/>
          </w:tcPr>
          <w:p>
            <w:pPr>
              <w:spacing w:before="60" w:after="60"/>
            </w:pPr>
            <w:r>
              <w:rPr>
                <w:rFonts w:ascii="Calibri" w:hAnsi="Calibri"/>
                <w:color w:val="1A233A"/>
                <w:sz w:val="19"/>
              </w:rPr>
              <w:t>+6 pp (LLA 38%)</w:t>
            </w:r>
          </w:p>
        </w:tc>
      </w:tr>
      <w:tr>
        <w:tc>
          <w:tcPr>
            <w:tcW w:type="dxa" w:w="2911"/>
            <w:vAlign w:val="center"/>
            <w:shd w:val="clear" w:color="auto" w:fill="EBF4FD"/>
          </w:tcPr>
          <w:p>
            <w:pPr>
              <w:spacing w:before="60" w:after="60"/>
            </w:pPr>
            <w:r>
              <w:rPr>
                <w:rFonts w:ascii="Calibri" w:hAnsi="Calibri"/>
                <w:color w:val="1A233A"/>
                <w:sz w:val="19"/>
              </w:rPr>
              <w:t>Política</w:t>
            </w:r>
          </w:p>
        </w:tc>
        <w:tc>
          <w:tcPr>
            <w:tcW w:type="dxa" w:w="2911"/>
            <w:vAlign w:val="center"/>
            <w:shd w:val="clear" w:color="auto" w:fill="EBF4FD"/>
          </w:tcPr>
          <w:p>
            <w:pPr>
              <w:spacing w:before="60" w:after="60"/>
            </w:pPr>
            <w:r>
              <w:rPr>
                <w:rFonts w:ascii="Calibri" w:hAnsi="Calibri"/>
                <w:color w:val="1A233A"/>
                <w:sz w:val="19"/>
              </w:rPr>
              <w:t>Conflictividad política</w:t>
            </w:r>
          </w:p>
        </w:tc>
        <w:tc>
          <w:tcPr>
            <w:tcW w:type="dxa" w:w="2911"/>
            <w:vAlign w:val="center"/>
            <w:shd w:val="clear" w:color="auto" w:fill="EBF4FD"/>
          </w:tcPr>
          <w:p>
            <w:pPr>
              <w:spacing w:before="60" w:after="60"/>
            </w:pPr>
            <w:r>
              <w:rPr>
                <w:rFonts w:ascii="Calibri" w:hAnsi="Calibri"/>
                <w:color w:val="1A233A"/>
                <w:sz w:val="19"/>
              </w:rPr>
              <w:t>58/100</w:t>
            </w:r>
          </w:p>
        </w:tc>
      </w:tr>
      <w:tr>
        <w:tc>
          <w:tcPr>
            <w:tcW w:type="dxa" w:w="2911"/>
            <w:vAlign w:val="center"/>
          </w:tcPr>
          <w:p>
            <w:pPr>
              <w:spacing w:before="60" w:after="60"/>
            </w:pPr>
            <w:r>
              <w:rPr>
                <w:rFonts w:ascii="Calibri" w:hAnsi="Calibri"/>
                <w:color w:val="1A233A"/>
                <w:sz w:val="19"/>
              </w:rPr>
              <w:t>Política</w:t>
            </w:r>
          </w:p>
        </w:tc>
        <w:tc>
          <w:tcPr>
            <w:tcW w:type="dxa" w:w="2911"/>
            <w:vAlign w:val="center"/>
          </w:tcPr>
          <w:p>
            <w:pPr>
              <w:spacing w:before="60" w:after="60"/>
            </w:pPr>
            <w:r>
              <w:rPr>
                <w:rFonts w:ascii="Calibri" w:hAnsi="Calibri"/>
                <w:color w:val="1A233A"/>
                <w:sz w:val="19"/>
              </w:rPr>
              <w:t>Eficacia legislativa</w:t>
            </w:r>
          </w:p>
        </w:tc>
        <w:tc>
          <w:tcPr>
            <w:tcW w:type="dxa" w:w="2911"/>
            <w:vAlign w:val="center"/>
          </w:tcPr>
          <w:p>
            <w:pPr>
              <w:spacing w:before="60" w:after="60"/>
            </w:pPr>
            <w:r>
              <w:rPr>
                <w:rFonts w:ascii="Calibri" w:hAnsi="Calibri"/>
                <w:color w:val="1A233A"/>
                <w:sz w:val="19"/>
              </w:rPr>
              <w:t>42%</w:t>
            </w:r>
          </w:p>
        </w:tc>
      </w:tr>
      <w:tr>
        <w:tc>
          <w:tcPr>
            <w:tcW w:type="dxa" w:w="2911"/>
            <w:vAlign w:val="center"/>
            <w:shd w:val="clear" w:color="auto" w:fill="EBF4FD"/>
          </w:tcPr>
          <w:p>
            <w:pPr>
              <w:spacing w:before="60" w:after="60"/>
            </w:pPr>
            <w:r>
              <w:rPr>
                <w:rFonts w:ascii="Calibri" w:hAnsi="Calibri"/>
                <w:color w:val="1A233A"/>
                <w:sz w:val="19"/>
              </w:rPr>
              <w:t>Vida cotidiana</w:t>
            </w:r>
          </w:p>
        </w:tc>
        <w:tc>
          <w:tcPr>
            <w:tcW w:type="dxa" w:w="2911"/>
            <w:vAlign w:val="center"/>
            <w:shd w:val="clear" w:color="auto" w:fill="EBF4FD"/>
          </w:tcPr>
          <w:p>
            <w:pPr>
              <w:spacing w:before="60" w:after="60"/>
            </w:pPr>
            <w:r>
              <w:rPr>
                <w:rFonts w:ascii="Calibri" w:hAnsi="Calibri"/>
                <w:color w:val="1A233A"/>
                <w:sz w:val="19"/>
              </w:rPr>
              <w:t>Salario real</w:t>
            </w:r>
          </w:p>
        </w:tc>
        <w:tc>
          <w:tcPr>
            <w:tcW w:type="dxa" w:w="2911"/>
            <w:vAlign w:val="center"/>
            <w:shd w:val="clear" w:color="auto" w:fill="EBF4FD"/>
          </w:tcPr>
          <w:p>
            <w:pPr>
              <w:spacing w:before="60" w:after="60"/>
            </w:pPr>
            <w:r>
              <w:rPr>
                <w:rFonts w:ascii="Calibri" w:hAnsi="Calibri"/>
                <w:color w:val="1A233A"/>
                <w:sz w:val="19"/>
              </w:rPr>
              <w:t>−0,4% mes</w:t>
            </w:r>
          </w:p>
        </w:tc>
      </w:tr>
      <w:tr>
        <w:tc>
          <w:tcPr>
            <w:tcW w:type="dxa" w:w="2911"/>
            <w:vAlign w:val="center"/>
          </w:tcPr>
          <w:p>
            <w:pPr>
              <w:spacing w:before="60" w:after="60"/>
            </w:pPr>
            <w:r>
              <w:rPr>
                <w:rFonts w:ascii="Calibri" w:hAnsi="Calibri"/>
                <w:color w:val="1A233A"/>
                <w:sz w:val="19"/>
              </w:rPr>
              <w:t>Vida cotidiana</w:t>
            </w:r>
          </w:p>
        </w:tc>
        <w:tc>
          <w:tcPr>
            <w:tcW w:type="dxa" w:w="2911"/>
            <w:vAlign w:val="center"/>
          </w:tcPr>
          <w:p>
            <w:pPr>
              <w:spacing w:before="60" w:after="60"/>
            </w:pPr>
            <w:r>
              <w:rPr>
                <w:rFonts w:ascii="Calibri" w:hAnsi="Calibri"/>
                <w:color w:val="1A233A"/>
                <w:sz w:val="19"/>
              </w:rPr>
              <w:t>Gasto seguridad social</w:t>
            </w:r>
          </w:p>
        </w:tc>
        <w:tc>
          <w:tcPr>
            <w:tcW w:type="dxa" w:w="2911"/>
            <w:vAlign w:val="center"/>
          </w:tcPr>
          <w:p>
            <w:pPr>
              <w:spacing w:before="60" w:after="60"/>
            </w:pPr>
            <w:r>
              <w:rPr>
                <w:rFonts w:ascii="Calibri" w:hAnsi="Calibri"/>
                <w:color w:val="1A233A"/>
                <w:sz w:val="19"/>
              </w:rPr>
              <w:t>+1,5% real i.a.</w:t>
            </w:r>
          </w:p>
        </w:tc>
      </w:tr>
      <w:tr>
        <w:tc>
          <w:tcPr>
            <w:tcW w:type="dxa" w:w="2911"/>
            <w:vAlign w:val="center"/>
            <w:shd w:val="clear" w:color="auto" w:fill="EBF4FD"/>
          </w:tcPr>
          <w:p>
            <w:pPr>
              <w:spacing w:before="60" w:after="60"/>
            </w:pPr>
            <w:r>
              <w:rPr>
                <w:rFonts w:ascii="Calibri" w:hAnsi="Calibri"/>
                <w:color w:val="1A233A"/>
                <w:sz w:val="19"/>
              </w:rPr>
              <w:t>Vida cotidiana</w:t>
            </w:r>
          </w:p>
        </w:tc>
        <w:tc>
          <w:tcPr>
            <w:tcW w:type="dxa" w:w="2911"/>
            <w:vAlign w:val="center"/>
            <w:shd w:val="clear" w:color="auto" w:fill="EBF4FD"/>
          </w:tcPr>
          <w:p>
            <w:pPr>
              <w:spacing w:before="60" w:after="60"/>
            </w:pPr>
            <w:r>
              <w:rPr>
                <w:rFonts w:ascii="Calibri" w:hAnsi="Calibri"/>
                <w:color w:val="1A233A"/>
                <w:sz w:val="19"/>
              </w:rPr>
              <w:t>Conflictividad social</w:t>
            </w:r>
          </w:p>
        </w:tc>
        <w:tc>
          <w:tcPr>
            <w:tcW w:type="dxa" w:w="2911"/>
            <w:vAlign w:val="center"/>
            <w:shd w:val="clear" w:color="auto" w:fill="EBF4FD"/>
          </w:tcPr>
          <w:p>
            <w:pPr>
              <w:spacing w:before="60" w:after="60"/>
            </w:pPr>
            <w:r>
              <w:rPr>
                <w:rFonts w:ascii="Calibri" w:hAnsi="Calibri"/>
                <w:color w:val="1A233A"/>
                <w:sz w:val="19"/>
              </w:rPr>
              <w:t>64/100</w:t>
            </w:r>
          </w:p>
        </w:tc>
      </w:tr>
      <w:tr>
        <w:tc>
          <w:tcPr>
            <w:tcW w:type="dxa" w:w="2911"/>
            <w:vAlign w:val="center"/>
          </w:tcPr>
          <w:p>
            <w:pPr>
              <w:spacing w:before="60" w:after="60"/>
            </w:pPr>
            <w:r>
              <w:rPr>
                <w:rFonts w:ascii="Calibri" w:hAnsi="Calibri"/>
                <w:color w:val="1A233A"/>
                <w:sz w:val="19"/>
              </w:rPr>
              <w:t>Vida cotidiana</w:t>
            </w:r>
          </w:p>
        </w:tc>
        <w:tc>
          <w:tcPr>
            <w:tcW w:type="dxa" w:w="2911"/>
            <w:vAlign w:val="center"/>
          </w:tcPr>
          <w:p>
            <w:pPr>
              <w:spacing w:before="60" w:after="60"/>
            </w:pPr>
            <w:r>
              <w:rPr>
                <w:rFonts w:ascii="Calibri" w:hAnsi="Calibri"/>
                <w:color w:val="1A233A"/>
                <w:sz w:val="19"/>
              </w:rPr>
              <w:t>Actividad PyME</w:t>
            </w:r>
          </w:p>
        </w:tc>
        <w:tc>
          <w:tcPr>
            <w:tcW w:type="dxa" w:w="2911"/>
            <w:vAlign w:val="center"/>
          </w:tcPr>
          <w:p>
            <w:pPr>
              <w:spacing w:before="60" w:after="60"/>
            </w:pPr>
            <w:r>
              <w:rPr>
                <w:rFonts w:ascii="Calibri" w:hAnsi="Calibri"/>
                <w:color w:val="1A233A"/>
                <w:sz w:val="19"/>
              </w:rPr>
              <w:t>−1,8% i.a.</w:t>
            </w:r>
          </w:p>
        </w:tc>
      </w:tr>
      <w:tr>
        <w:tc>
          <w:tcPr>
            <w:tcW w:type="dxa" w:w="2911"/>
            <w:vAlign w:val="center"/>
            <w:shd w:val="clear" w:color="auto" w:fill="EBF4FD"/>
          </w:tcPr>
          <w:p>
            <w:pPr>
              <w:spacing w:before="60" w:after="60"/>
            </w:pPr>
            <w:r>
              <w:rPr>
                <w:rFonts w:ascii="Calibri" w:hAnsi="Calibri"/>
                <w:color w:val="1A233A"/>
                <w:sz w:val="19"/>
              </w:rPr>
              <w:t>Vida cotidiana</w:t>
            </w:r>
          </w:p>
        </w:tc>
        <w:tc>
          <w:tcPr>
            <w:tcW w:type="dxa" w:w="2911"/>
            <w:vAlign w:val="center"/>
            <w:shd w:val="clear" w:color="auto" w:fill="EBF4FD"/>
          </w:tcPr>
          <w:p>
            <w:pPr>
              <w:spacing w:before="60" w:after="60"/>
            </w:pPr>
            <w:r>
              <w:rPr>
                <w:rFonts w:ascii="Calibri" w:hAnsi="Calibri"/>
                <w:color w:val="1A233A"/>
                <w:sz w:val="19"/>
              </w:rPr>
              <w:t>Despacho cemento</w:t>
            </w:r>
          </w:p>
        </w:tc>
        <w:tc>
          <w:tcPr>
            <w:tcW w:type="dxa" w:w="2911"/>
            <w:vAlign w:val="center"/>
            <w:shd w:val="clear" w:color="auto" w:fill="EBF4FD"/>
          </w:tcPr>
          <w:p>
            <w:pPr>
              <w:spacing w:before="60" w:after="60"/>
            </w:pPr>
            <w:r>
              <w:rPr>
                <w:rFonts w:ascii="Calibri" w:hAnsi="Calibri"/>
                <w:color w:val="1A233A"/>
                <w:sz w:val="19"/>
              </w:rPr>
              <w:t>826 kt</w:t>
            </w:r>
          </w:p>
        </w:tc>
      </w:tr>
      <w:tr>
        <w:tc>
          <w:tcPr>
            <w:tcW w:type="dxa" w:w="2911"/>
            <w:vAlign w:val="center"/>
          </w:tcPr>
          <w:p>
            <w:pPr>
              <w:spacing w:before="60" w:after="60"/>
            </w:pPr>
            <w:r>
              <w:rPr>
                <w:rFonts w:ascii="Calibri" w:hAnsi="Calibri"/>
                <w:color w:val="1A233A"/>
                <w:sz w:val="19"/>
              </w:rPr>
              <w:t>Gestión / CIGOB</w:t>
            </w:r>
          </w:p>
        </w:tc>
        <w:tc>
          <w:tcPr>
            <w:tcW w:type="dxa" w:w="2911"/>
            <w:vAlign w:val="center"/>
          </w:tcPr>
          <w:p>
            <w:pPr>
              <w:spacing w:before="60" w:after="60"/>
            </w:pPr>
            <w:r>
              <w:rPr>
                <w:rFonts w:ascii="Calibri" w:hAnsi="Calibri"/>
                <w:color w:val="1A233A"/>
                <w:sz w:val="19"/>
              </w:rPr>
              <w:t>Cumplimiento proyectos</w:t>
            </w:r>
          </w:p>
        </w:tc>
        <w:tc>
          <w:tcPr>
            <w:tcW w:type="dxa" w:w="2911"/>
            <w:vAlign w:val="center"/>
          </w:tcPr>
          <w:p>
            <w:pPr>
              <w:spacing w:before="60" w:after="60"/>
            </w:pPr>
            <w:r>
              <w:rPr>
                <w:rFonts w:ascii="Calibri" w:hAnsi="Calibri"/>
                <w:color w:val="1A233A"/>
                <w:sz w:val="19"/>
              </w:rPr>
              <w:t>64%</w:t>
            </w:r>
          </w:p>
        </w:tc>
      </w:tr>
      <w:tr>
        <w:tc>
          <w:tcPr>
            <w:tcW w:type="dxa" w:w="2911"/>
            <w:vAlign w:val="center"/>
            <w:shd w:val="clear" w:color="auto" w:fill="EBF4FD"/>
          </w:tcPr>
          <w:p>
            <w:pPr>
              <w:spacing w:before="60" w:after="60"/>
            </w:pPr>
            <w:r>
              <w:rPr>
                <w:rFonts w:ascii="Calibri" w:hAnsi="Calibri"/>
                <w:color w:val="1A233A"/>
                <w:sz w:val="19"/>
              </w:rPr>
              <w:t>Gestión / CIGOB</w:t>
            </w:r>
          </w:p>
        </w:tc>
        <w:tc>
          <w:tcPr>
            <w:tcW w:type="dxa" w:w="2911"/>
            <w:vAlign w:val="center"/>
            <w:shd w:val="clear" w:color="auto" w:fill="EBF4FD"/>
          </w:tcPr>
          <w:p>
            <w:pPr>
              <w:spacing w:before="60" w:after="60"/>
            </w:pPr>
            <w:r>
              <w:rPr>
                <w:rFonts w:ascii="Calibri" w:hAnsi="Calibri"/>
                <w:color w:val="1A233A"/>
                <w:sz w:val="19"/>
              </w:rPr>
              <w:t>Productividad estatal</w:t>
            </w:r>
          </w:p>
        </w:tc>
        <w:tc>
          <w:tcPr>
            <w:tcW w:type="dxa" w:w="2911"/>
            <w:vAlign w:val="center"/>
            <w:shd w:val="clear" w:color="auto" w:fill="EBF4FD"/>
          </w:tcPr>
          <w:p>
            <w:pPr>
              <w:spacing w:before="60" w:after="60"/>
            </w:pPr>
            <w:r>
              <w:rPr>
                <w:rFonts w:ascii="Calibri" w:hAnsi="Calibri"/>
                <w:color w:val="1A233A"/>
                <w:sz w:val="19"/>
              </w:rPr>
              <w:t>47/100</w:t>
            </w:r>
          </w:p>
        </w:tc>
      </w:tr>
    </w:tbl>
    <w:p/>
    <w:p>
      <w:pPr>
        <w:spacing w:before="120" w:after="120"/>
      </w:pPr>
      <w:r>
        <w:rPr>
          <w:rFonts w:ascii="Calibri" w:hAnsi="Calibri"/>
          <w:b/>
          <w:color w:val="3A8FC9"/>
          <w:sz w:val="26"/>
        </w:rPr>
        <w:t>Faltantes prioritarios (top 12, ordenados por costo bajo de construcción)</w:t>
      </w:r>
    </w:p>
    <w:tbl>
      <w:tblPr>
        <w:tblStyle w:val="TableGrid"/>
        <w:tblW w:type="auto" w:w="0"/>
        <w:jc w:val="left"/>
        <w:tblLook w:firstColumn="1" w:firstRow="1" w:lastColumn="0" w:lastRow="0" w:noHBand="0" w:noVBand="1" w:val="04A0"/>
      </w:tblPr>
      <w:tblGrid>
        <w:gridCol w:w="1746"/>
        <w:gridCol w:w="1746"/>
        <w:gridCol w:w="1746"/>
        <w:gridCol w:w="1746"/>
        <w:gridCol w:w="1746"/>
      </w:tblGrid>
      <w:tr>
        <w:tc>
          <w:tcPr>
            <w:tcW w:type="dxa" w:w="1746"/>
            <w:vAlign w:val="center"/>
            <w:shd w:val="clear" w:color="auto" w:fill="1E5F9E"/>
          </w:tcPr>
          <w:p>
            <w:pPr>
              <w:spacing w:before="80" w:after="80"/>
            </w:pPr>
            <w:r>
              <w:rPr>
                <w:rFonts w:ascii="Calibri" w:hAnsi="Calibri"/>
                <w:b/>
                <w:color w:val="FFFFFF"/>
                <w:sz w:val="20"/>
              </w:rPr>
              <w:t>#</w:t>
            </w:r>
          </w:p>
        </w:tc>
        <w:tc>
          <w:tcPr>
            <w:tcW w:type="dxa" w:w="1746"/>
            <w:vAlign w:val="center"/>
            <w:shd w:val="clear" w:color="auto" w:fill="1E5F9E"/>
          </w:tcPr>
          <w:p>
            <w:pPr>
              <w:spacing w:before="80" w:after="80"/>
            </w:pPr>
            <w:r>
              <w:rPr>
                <w:rFonts w:ascii="Calibri" w:hAnsi="Calibri"/>
                <w:b/>
                <w:color w:val="FFFFFF"/>
                <w:sz w:val="20"/>
              </w:rPr>
              <w:t>Indicador</w:t>
            </w:r>
          </w:p>
        </w:tc>
        <w:tc>
          <w:tcPr>
            <w:tcW w:type="dxa" w:w="1746"/>
            <w:vAlign w:val="center"/>
            <w:shd w:val="clear" w:color="auto" w:fill="1E5F9E"/>
          </w:tcPr>
          <w:p>
            <w:pPr>
              <w:spacing w:before="80" w:after="80"/>
            </w:pPr>
            <w:r>
              <w:rPr>
                <w:rFonts w:ascii="Calibri" w:hAnsi="Calibri"/>
                <w:b/>
                <w:color w:val="FFFFFF"/>
                <w:sz w:val="20"/>
              </w:rPr>
              <w:t>Cinturón</w:t>
            </w:r>
          </w:p>
        </w:tc>
        <w:tc>
          <w:tcPr>
            <w:tcW w:type="dxa" w:w="1746"/>
            <w:vAlign w:val="center"/>
            <w:shd w:val="clear" w:color="auto" w:fill="1E5F9E"/>
          </w:tcPr>
          <w:p>
            <w:pPr>
              <w:spacing w:before="80" w:after="80"/>
            </w:pPr>
            <w:r>
              <w:rPr>
                <w:rFonts w:ascii="Calibri" w:hAnsi="Calibri"/>
                <w:b/>
                <w:color w:val="FFFFFF"/>
                <w:sz w:val="20"/>
              </w:rPr>
              <w:t>Fuente</w:t>
            </w:r>
          </w:p>
        </w:tc>
        <w:tc>
          <w:tcPr>
            <w:tcW w:type="dxa" w:w="1746"/>
            <w:vAlign w:val="center"/>
            <w:shd w:val="clear" w:color="auto" w:fill="1E5F9E"/>
          </w:tcPr>
          <w:p>
            <w:pPr>
              <w:spacing w:before="80" w:after="80"/>
            </w:pPr>
            <w:r>
              <w:rPr>
                <w:rFonts w:ascii="Calibri" w:hAnsi="Calibri"/>
                <w:b/>
                <w:color w:val="FFFFFF"/>
                <w:sz w:val="20"/>
              </w:rPr>
              <w:t>Costo</w:t>
            </w:r>
          </w:p>
        </w:tc>
      </w:tr>
      <w:tr>
        <w:tc>
          <w:tcPr>
            <w:tcW w:type="dxa" w:w="1746"/>
            <w:vAlign w:val="center"/>
          </w:tcPr>
          <w:p>
            <w:pPr>
              <w:spacing w:before="60" w:after="60"/>
            </w:pPr>
            <w:r>
              <w:rPr>
                <w:rFonts w:ascii="Calibri" w:hAnsi="Calibri"/>
                <w:color w:val="1A233A"/>
                <w:sz w:val="19"/>
              </w:rPr>
              <w:t>1</w:t>
            </w:r>
          </w:p>
        </w:tc>
        <w:tc>
          <w:tcPr>
            <w:tcW w:type="dxa" w:w="1746"/>
            <w:vAlign w:val="center"/>
          </w:tcPr>
          <w:p>
            <w:pPr>
              <w:spacing w:before="60" w:after="60"/>
            </w:pPr>
            <w:r>
              <w:rPr>
                <w:rFonts w:ascii="Calibri" w:hAnsi="Calibri"/>
                <w:color w:val="1A233A"/>
                <w:sz w:val="19"/>
              </w:rPr>
              <w:t>Pobreza (UCA-ODSA)</w:t>
            </w:r>
          </w:p>
        </w:tc>
        <w:tc>
          <w:tcPr>
            <w:tcW w:type="dxa" w:w="1746"/>
            <w:vAlign w:val="center"/>
          </w:tcPr>
          <w:p>
            <w:pPr>
              <w:spacing w:before="60" w:after="60"/>
            </w:pPr>
            <w:r>
              <w:rPr>
                <w:rFonts w:ascii="Calibri" w:hAnsi="Calibri"/>
                <w:color w:val="1A233A"/>
                <w:sz w:val="19"/>
              </w:rPr>
              <w:t>Vida cotidiana</w:t>
            </w:r>
          </w:p>
        </w:tc>
        <w:tc>
          <w:tcPr>
            <w:tcW w:type="dxa" w:w="1746"/>
            <w:vAlign w:val="center"/>
          </w:tcPr>
          <w:p>
            <w:pPr>
              <w:spacing w:before="60" w:after="60"/>
            </w:pPr>
            <w:r>
              <w:rPr>
                <w:rFonts w:ascii="Calibri" w:hAnsi="Calibri"/>
                <w:color w:val="1A233A"/>
                <w:sz w:val="19"/>
              </w:rPr>
              <w:t>UCA-ODSA mensual</w:t>
            </w:r>
          </w:p>
        </w:tc>
        <w:tc>
          <w:tcPr>
            <w:tcW w:type="dxa" w:w="1746"/>
            <w:vAlign w:val="center"/>
          </w:tcPr>
          <w:p>
            <w:pPr>
              <w:spacing w:before="60" w:after="60"/>
            </w:pPr>
            <w:r>
              <w:rPr>
                <w:rFonts w:ascii="Calibri" w:hAnsi="Calibri"/>
                <w:color w:val="1A233A"/>
                <w:sz w:val="19"/>
              </w:rPr>
              <w:t>Bajo</w:t>
            </w:r>
          </w:p>
        </w:tc>
      </w:tr>
      <w:tr>
        <w:tc>
          <w:tcPr>
            <w:tcW w:type="dxa" w:w="1746"/>
            <w:vAlign w:val="center"/>
            <w:shd w:val="clear" w:color="auto" w:fill="EBF4FD"/>
          </w:tcPr>
          <w:p>
            <w:pPr>
              <w:spacing w:before="60" w:after="60"/>
            </w:pPr>
            <w:r>
              <w:rPr>
                <w:rFonts w:ascii="Calibri" w:hAnsi="Calibri"/>
                <w:color w:val="1A233A"/>
                <w:sz w:val="19"/>
              </w:rPr>
              <w:t>2</w:t>
            </w:r>
          </w:p>
        </w:tc>
        <w:tc>
          <w:tcPr>
            <w:tcW w:type="dxa" w:w="1746"/>
            <w:vAlign w:val="center"/>
            <w:shd w:val="clear" w:color="auto" w:fill="EBF4FD"/>
          </w:tcPr>
          <w:p>
            <w:pPr>
              <w:spacing w:before="60" w:after="60"/>
            </w:pPr>
            <w:r>
              <w:rPr>
                <w:rFonts w:ascii="Calibri" w:hAnsi="Calibri"/>
                <w:color w:val="1A233A"/>
                <w:sz w:val="19"/>
              </w:rPr>
              <w:t>Desempleo y subocupación</w:t>
            </w:r>
          </w:p>
        </w:tc>
        <w:tc>
          <w:tcPr>
            <w:tcW w:type="dxa" w:w="1746"/>
            <w:vAlign w:val="center"/>
            <w:shd w:val="clear" w:color="auto" w:fill="EBF4FD"/>
          </w:tcPr>
          <w:p>
            <w:pPr>
              <w:spacing w:before="60" w:after="60"/>
            </w:pPr>
            <w:r>
              <w:rPr>
                <w:rFonts w:ascii="Calibri" w:hAnsi="Calibri"/>
                <w:color w:val="1A233A"/>
                <w:sz w:val="19"/>
              </w:rPr>
              <w:t>Vida cotidiana / Macro</w:t>
            </w:r>
          </w:p>
        </w:tc>
        <w:tc>
          <w:tcPr>
            <w:tcW w:type="dxa" w:w="1746"/>
            <w:vAlign w:val="center"/>
            <w:shd w:val="clear" w:color="auto" w:fill="EBF4FD"/>
          </w:tcPr>
          <w:p>
            <w:pPr>
              <w:spacing w:before="60" w:after="60"/>
            </w:pPr>
            <w:r>
              <w:rPr>
                <w:rFonts w:ascii="Calibri" w:hAnsi="Calibri"/>
                <w:color w:val="1A233A"/>
                <w:sz w:val="19"/>
              </w:rPr>
              <w:t>INDEC EPH trimestral</w:t>
            </w:r>
          </w:p>
        </w:tc>
        <w:tc>
          <w:tcPr>
            <w:tcW w:type="dxa" w:w="1746"/>
            <w:vAlign w:val="center"/>
            <w:shd w:val="clear" w:color="auto" w:fill="EBF4FD"/>
          </w:tcPr>
          <w:p>
            <w:pPr>
              <w:spacing w:before="60" w:after="60"/>
            </w:pPr>
            <w:r>
              <w:rPr>
                <w:rFonts w:ascii="Calibri" w:hAnsi="Calibri"/>
                <w:color w:val="1A233A"/>
                <w:sz w:val="19"/>
              </w:rPr>
              <w:t>Bajo</w:t>
            </w:r>
          </w:p>
        </w:tc>
      </w:tr>
      <w:tr>
        <w:tc>
          <w:tcPr>
            <w:tcW w:type="dxa" w:w="1746"/>
            <w:vAlign w:val="center"/>
          </w:tcPr>
          <w:p>
            <w:pPr>
              <w:spacing w:before="60" w:after="60"/>
            </w:pPr>
            <w:r>
              <w:rPr>
                <w:rFonts w:ascii="Calibri" w:hAnsi="Calibri"/>
                <w:color w:val="1A233A"/>
                <w:sz w:val="19"/>
              </w:rPr>
              <w:t>3</w:t>
            </w:r>
          </w:p>
        </w:tc>
        <w:tc>
          <w:tcPr>
            <w:tcW w:type="dxa" w:w="1746"/>
            <w:vAlign w:val="center"/>
          </w:tcPr>
          <w:p>
            <w:pPr>
              <w:spacing w:before="60" w:after="60"/>
            </w:pPr>
            <w:r>
              <w:rPr>
                <w:rFonts w:ascii="Calibri" w:hAnsi="Calibri"/>
                <w:color w:val="1A233A"/>
                <w:sz w:val="19"/>
              </w:rPr>
              <w:t>EMAE</w:t>
            </w:r>
          </w:p>
        </w:tc>
        <w:tc>
          <w:tcPr>
            <w:tcW w:type="dxa" w:w="1746"/>
            <w:vAlign w:val="center"/>
          </w:tcPr>
          <w:p>
            <w:pPr>
              <w:spacing w:before="60" w:after="60"/>
            </w:pPr>
            <w:r>
              <w:rPr>
                <w:rFonts w:ascii="Calibri" w:hAnsi="Calibri"/>
                <w:color w:val="1A233A"/>
                <w:sz w:val="19"/>
              </w:rPr>
              <w:t>Macro</w:t>
            </w:r>
          </w:p>
        </w:tc>
        <w:tc>
          <w:tcPr>
            <w:tcW w:type="dxa" w:w="1746"/>
            <w:vAlign w:val="center"/>
          </w:tcPr>
          <w:p>
            <w:pPr>
              <w:spacing w:before="60" w:after="60"/>
            </w:pPr>
            <w:r>
              <w:rPr>
                <w:rFonts w:ascii="Calibri" w:hAnsi="Calibri"/>
                <w:color w:val="1A233A"/>
                <w:sz w:val="19"/>
              </w:rPr>
              <w:t>INDEC mensual</w:t>
            </w:r>
          </w:p>
        </w:tc>
        <w:tc>
          <w:tcPr>
            <w:tcW w:type="dxa" w:w="1746"/>
            <w:vAlign w:val="center"/>
          </w:tcPr>
          <w:p>
            <w:pPr>
              <w:spacing w:before="60" w:after="60"/>
            </w:pPr>
            <w:r>
              <w:rPr>
                <w:rFonts w:ascii="Calibri" w:hAnsi="Calibri"/>
                <w:color w:val="1A233A"/>
                <w:sz w:val="19"/>
              </w:rPr>
              <w:t>Bajo</w:t>
            </w:r>
          </w:p>
        </w:tc>
      </w:tr>
      <w:tr>
        <w:tc>
          <w:tcPr>
            <w:tcW w:type="dxa" w:w="1746"/>
            <w:vAlign w:val="center"/>
            <w:shd w:val="clear" w:color="auto" w:fill="EBF4FD"/>
          </w:tcPr>
          <w:p>
            <w:pPr>
              <w:spacing w:before="60" w:after="60"/>
            </w:pPr>
            <w:r>
              <w:rPr>
                <w:rFonts w:ascii="Calibri" w:hAnsi="Calibri"/>
                <w:color w:val="1A233A"/>
                <w:sz w:val="19"/>
              </w:rPr>
              <w:t>4</w:t>
            </w:r>
          </w:p>
        </w:tc>
        <w:tc>
          <w:tcPr>
            <w:tcW w:type="dxa" w:w="1746"/>
            <w:vAlign w:val="center"/>
            <w:shd w:val="clear" w:color="auto" w:fill="EBF4FD"/>
          </w:tcPr>
          <w:p>
            <w:pPr>
              <w:spacing w:before="60" w:after="60"/>
            </w:pPr>
            <w:r>
              <w:rPr>
                <w:rFonts w:ascii="Calibri" w:hAnsi="Calibri"/>
                <w:color w:val="1A233A"/>
                <w:sz w:val="19"/>
              </w:rPr>
              <w:t>Recaudación tributaria real</w:t>
            </w:r>
          </w:p>
        </w:tc>
        <w:tc>
          <w:tcPr>
            <w:tcW w:type="dxa" w:w="1746"/>
            <w:vAlign w:val="center"/>
            <w:shd w:val="clear" w:color="auto" w:fill="EBF4FD"/>
          </w:tcPr>
          <w:p>
            <w:pPr>
              <w:spacing w:before="60" w:after="60"/>
            </w:pPr>
            <w:r>
              <w:rPr>
                <w:rFonts w:ascii="Calibri" w:hAnsi="Calibri"/>
                <w:color w:val="1A233A"/>
                <w:sz w:val="19"/>
              </w:rPr>
              <w:t>Macro</w:t>
            </w:r>
          </w:p>
        </w:tc>
        <w:tc>
          <w:tcPr>
            <w:tcW w:type="dxa" w:w="1746"/>
            <w:vAlign w:val="center"/>
            <w:shd w:val="clear" w:color="auto" w:fill="EBF4FD"/>
          </w:tcPr>
          <w:p>
            <w:pPr>
              <w:spacing w:before="60" w:after="60"/>
            </w:pPr>
            <w:r>
              <w:rPr>
                <w:rFonts w:ascii="Calibri" w:hAnsi="Calibri"/>
                <w:color w:val="1A233A"/>
                <w:sz w:val="19"/>
              </w:rPr>
              <w:t>AFIP mensual</w:t>
            </w:r>
          </w:p>
        </w:tc>
        <w:tc>
          <w:tcPr>
            <w:tcW w:type="dxa" w:w="1746"/>
            <w:vAlign w:val="center"/>
            <w:shd w:val="clear" w:color="auto" w:fill="EBF4FD"/>
          </w:tcPr>
          <w:p>
            <w:pPr>
              <w:spacing w:before="60" w:after="60"/>
            </w:pPr>
            <w:r>
              <w:rPr>
                <w:rFonts w:ascii="Calibri" w:hAnsi="Calibri"/>
                <w:color w:val="1A233A"/>
                <w:sz w:val="19"/>
              </w:rPr>
              <w:t>Bajo</w:t>
            </w:r>
          </w:p>
        </w:tc>
      </w:tr>
      <w:tr>
        <w:tc>
          <w:tcPr>
            <w:tcW w:type="dxa" w:w="1746"/>
            <w:vAlign w:val="center"/>
          </w:tcPr>
          <w:p>
            <w:pPr>
              <w:spacing w:before="60" w:after="60"/>
            </w:pPr>
            <w:r>
              <w:rPr>
                <w:rFonts w:ascii="Calibri" w:hAnsi="Calibri"/>
                <w:color w:val="1A233A"/>
                <w:sz w:val="19"/>
              </w:rPr>
              <w:t>5</w:t>
            </w:r>
          </w:p>
        </w:tc>
        <w:tc>
          <w:tcPr>
            <w:tcW w:type="dxa" w:w="1746"/>
            <w:vAlign w:val="center"/>
          </w:tcPr>
          <w:p>
            <w:pPr>
              <w:spacing w:before="60" w:after="60"/>
            </w:pPr>
            <w:r>
              <w:rPr>
                <w:rFonts w:ascii="Calibri" w:hAnsi="Calibri"/>
                <w:color w:val="1A233A"/>
                <w:sz w:val="19"/>
              </w:rPr>
              <w:t>Expectativas inflación (REM)</w:t>
            </w:r>
          </w:p>
        </w:tc>
        <w:tc>
          <w:tcPr>
            <w:tcW w:type="dxa" w:w="1746"/>
            <w:vAlign w:val="center"/>
          </w:tcPr>
          <w:p>
            <w:pPr>
              <w:spacing w:before="60" w:after="60"/>
            </w:pPr>
            <w:r>
              <w:rPr>
                <w:rFonts w:ascii="Calibri" w:hAnsi="Calibri"/>
                <w:color w:val="1A233A"/>
                <w:sz w:val="19"/>
              </w:rPr>
              <w:t>Macro</w:t>
            </w:r>
          </w:p>
        </w:tc>
        <w:tc>
          <w:tcPr>
            <w:tcW w:type="dxa" w:w="1746"/>
            <w:vAlign w:val="center"/>
          </w:tcPr>
          <w:p>
            <w:pPr>
              <w:spacing w:before="60" w:after="60"/>
            </w:pPr>
            <w:r>
              <w:rPr>
                <w:rFonts w:ascii="Calibri" w:hAnsi="Calibri"/>
                <w:color w:val="1A233A"/>
                <w:sz w:val="19"/>
              </w:rPr>
              <w:t>BCRA mensual</w:t>
            </w:r>
          </w:p>
        </w:tc>
        <w:tc>
          <w:tcPr>
            <w:tcW w:type="dxa" w:w="1746"/>
            <w:vAlign w:val="center"/>
          </w:tcPr>
          <w:p>
            <w:pPr>
              <w:spacing w:before="60" w:after="60"/>
            </w:pPr>
            <w:r>
              <w:rPr>
                <w:rFonts w:ascii="Calibri" w:hAnsi="Calibri"/>
                <w:color w:val="1A233A"/>
                <w:sz w:val="19"/>
              </w:rPr>
              <w:t>Bajo</w:t>
            </w:r>
          </w:p>
        </w:tc>
      </w:tr>
      <w:tr>
        <w:tc>
          <w:tcPr>
            <w:tcW w:type="dxa" w:w="1746"/>
            <w:vAlign w:val="center"/>
            <w:shd w:val="clear" w:color="auto" w:fill="EBF4FD"/>
          </w:tcPr>
          <w:p>
            <w:pPr>
              <w:spacing w:before="60" w:after="60"/>
            </w:pPr>
            <w:r>
              <w:rPr>
                <w:rFonts w:ascii="Calibri" w:hAnsi="Calibri"/>
                <w:color w:val="1A233A"/>
                <w:sz w:val="19"/>
              </w:rPr>
              <w:t>6</w:t>
            </w:r>
          </w:p>
        </w:tc>
        <w:tc>
          <w:tcPr>
            <w:tcW w:type="dxa" w:w="1746"/>
            <w:vAlign w:val="center"/>
            <w:shd w:val="clear" w:color="auto" w:fill="EBF4FD"/>
          </w:tcPr>
          <w:p>
            <w:pPr>
              <w:spacing w:before="60" w:after="60"/>
            </w:pPr>
            <w:r>
              <w:rPr>
                <w:rFonts w:ascii="Calibri" w:hAnsi="Calibri"/>
                <w:color w:val="1A233A"/>
                <w:sz w:val="19"/>
              </w:rPr>
              <w:t>Homicidios</w:t>
            </w:r>
          </w:p>
        </w:tc>
        <w:tc>
          <w:tcPr>
            <w:tcW w:type="dxa" w:w="1746"/>
            <w:vAlign w:val="center"/>
            <w:shd w:val="clear" w:color="auto" w:fill="EBF4FD"/>
          </w:tcPr>
          <w:p>
            <w:pPr>
              <w:spacing w:before="60" w:after="60"/>
            </w:pPr>
            <w:r>
              <w:rPr>
                <w:rFonts w:ascii="Calibri" w:hAnsi="Calibri"/>
                <w:color w:val="1A233A"/>
                <w:sz w:val="19"/>
              </w:rPr>
              <w:t>Vida cotidiana</w:t>
            </w:r>
          </w:p>
        </w:tc>
        <w:tc>
          <w:tcPr>
            <w:tcW w:type="dxa" w:w="1746"/>
            <w:vAlign w:val="center"/>
            <w:shd w:val="clear" w:color="auto" w:fill="EBF4FD"/>
          </w:tcPr>
          <w:p>
            <w:pPr>
              <w:spacing w:before="60" w:after="60"/>
            </w:pPr>
            <w:r>
              <w:rPr>
                <w:rFonts w:ascii="Calibri" w:hAnsi="Calibri"/>
                <w:color w:val="1A233A"/>
                <w:sz w:val="19"/>
              </w:rPr>
              <w:t>SNIC anual + Min. Seguridad</w:t>
            </w:r>
          </w:p>
        </w:tc>
        <w:tc>
          <w:tcPr>
            <w:tcW w:type="dxa" w:w="1746"/>
            <w:vAlign w:val="center"/>
            <w:shd w:val="clear" w:color="auto" w:fill="EBF4FD"/>
          </w:tcPr>
          <w:p>
            <w:pPr>
              <w:spacing w:before="60" w:after="60"/>
            </w:pPr>
            <w:r>
              <w:rPr>
                <w:rFonts w:ascii="Calibri" w:hAnsi="Calibri"/>
                <w:color w:val="1A233A"/>
                <w:sz w:val="19"/>
              </w:rPr>
              <w:t>Medio</w:t>
            </w:r>
          </w:p>
        </w:tc>
      </w:tr>
      <w:tr>
        <w:tc>
          <w:tcPr>
            <w:tcW w:type="dxa" w:w="1746"/>
            <w:vAlign w:val="center"/>
          </w:tcPr>
          <w:p>
            <w:pPr>
              <w:spacing w:before="60" w:after="60"/>
            </w:pPr>
            <w:r>
              <w:rPr>
                <w:rFonts w:ascii="Calibri" w:hAnsi="Calibri"/>
                <w:color w:val="1A233A"/>
                <w:sz w:val="19"/>
              </w:rPr>
              <w:t>7</w:t>
            </w:r>
          </w:p>
        </w:tc>
        <w:tc>
          <w:tcPr>
            <w:tcW w:type="dxa" w:w="1746"/>
            <w:vAlign w:val="center"/>
          </w:tcPr>
          <w:p>
            <w:pPr>
              <w:spacing w:before="60" w:after="60"/>
            </w:pPr>
            <w:r>
              <w:rPr>
                <w:rFonts w:ascii="Calibri" w:hAnsi="Calibri"/>
                <w:color w:val="1A233A"/>
                <w:sz w:val="19"/>
              </w:rPr>
              <w:t>Tasa de DNU / leyes</w:t>
            </w:r>
          </w:p>
        </w:tc>
        <w:tc>
          <w:tcPr>
            <w:tcW w:type="dxa" w:w="1746"/>
            <w:vAlign w:val="center"/>
          </w:tcPr>
          <w:p>
            <w:pPr>
              <w:spacing w:before="60" w:after="60"/>
            </w:pPr>
            <w:r>
              <w:rPr>
                <w:rFonts w:ascii="Calibri" w:hAnsi="Calibri"/>
                <w:color w:val="1A233A"/>
                <w:sz w:val="19"/>
              </w:rPr>
              <w:t>Política</w:t>
            </w:r>
          </w:p>
        </w:tc>
        <w:tc>
          <w:tcPr>
            <w:tcW w:type="dxa" w:w="1746"/>
            <w:vAlign w:val="center"/>
          </w:tcPr>
          <w:p>
            <w:pPr>
              <w:spacing w:before="60" w:after="60"/>
            </w:pPr>
            <w:r>
              <w:rPr>
                <w:rFonts w:ascii="Calibri" w:hAnsi="Calibri"/>
                <w:color w:val="1A233A"/>
                <w:sz w:val="19"/>
              </w:rPr>
              <w:t>InfoLEG</w:t>
            </w:r>
          </w:p>
        </w:tc>
        <w:tc>
          <w:tcPr>
            <w:tcW w:type="dxa" w:w="1746"/>
            <w:vAlign w:val="center"/>
          </w:tcPr>
          <w:p>
            <w:pPr>
              <w:spacing w:before="60" w:after="60"/>
            </w:pPr>
            <w:r>
              <w:rPr>
                <w:rFonts w:ascii="Calibri" w:hAnsi="Calibri"/>
                <w:color w:val="1A233A"/>
                <w:sz w:val="19"/>
              </w:rPr>
              <w:t>Bajo</w:t>
            </w:r>
          </w:p>
        </w:tc>
      </w:tr>
      <w:tr>
        <w:tc>
          <w:tcPr>
            <w:tcW w:type="dxa" w:w="1746"/>
            <w:vAlign w:val="center"/>
            <w:shd w:val="clear" w:color="auto" w:fill="EBF4FD"/>
          </w:tcPr>
          <w:p>
            <w:pPr>
              <w:spacing w:before="60" w:after="60"/>
            </w:pPr>
            <w:r>
              <w:rPr>
                <w:rFonts w:ascii="Calibri" w:hAnsi="Calibri"/>
                <w:color w:val="1A233A"/>
                <w:sz w:val="19"/>
              </w:rPr>
              <w:t>8</w:t>
            </w:r>
          </w:p>
        </w:tc>
        <w:tc>
          <w:tcPr>
            <w:tcW w:type="dxa" w:w="1746"/>
            <w:vAlign w:val="center"/>
            <w:shd w:val="clear" w:color="auto" w:fill="EBF4FD"/>
          </w:tcPr>
          <w:p>
            <w:pPr>
              <w:spacing w:before="60" w:after="60"/>
            </w:pPr>
            <w:r>
              <w:rPr>
                <w:rFonts w:ascii="Calibri" w:hAnsi="Calibri"/>
                <w:color w:val="1A233A"/>
                <w:sz w:val="19"/>
              </w:rPr>
              <w:t>Cohesión oficialismo (votaciones nominales)</w:t>
            </w:r>
          </w:p>
        </w:tc>
        <w:tc>
          <w:tcPr>
            <w:tcW w:type="dxa" w:w="1746"/>
            <w:vAlign w:val="center"/>
            <w:shd w:val="clear" w:color="auto" w:fill="EBF4FD"/>
          </w:tcPr>
          <w:p>
            <w:pPr>
              <w:spacing w:before="60" w:after="60"/>
            </w:pPr>
            <w:r>
              <w:rPr>
                <w:rFonts w:ascii="Calibri" w:hAnsi="Calibri"/>
                <w:color w:val="1A233A"/>
                <w:sz w:val="19"/>
              </w:rPr>
              <w:t>Política</w:t>
            </w:r>
          </w:p>
        </w:tc>
        <w:tc>
          <w:tcPr>
            <w:tcW w:type="dxa" w:w="1746"/>
            <w:vAlign w:val="center"/>
            <w:shd w:val="clear" w:color="auto" w:fill="EBF4FD"/>
          </w:tcPr>
          <w:p>
            <w:pPr>
              <w:spacing w:before="60" w:after="60"/>
            </w:pPr>
            <w:r>
              <w:rPr>
                <w:rFonts w:ascii="Calibri" w:hAnsi="Calibri"/>
                <w:color w:val="1A233A"/>
                <w:sz w:val="19"/>
              </w:rPr>
              <w:t>HCDN/HSN</w:t>
            </w:r>
          </w:p>
        </w:tc>
        <w:tc>
          <w:tcPr>
            <w:tcW w:type="dxa" w:w="1746"/>
            <w:vAlign w:val="center"/>
            <w:shd w:val="clear" w:color="auto" w:fill="EBF4FD"/>
          </w:tcPr>
          <w:p>
            <w:pPr>
              <w:spacing w:before="60" w:after="60"/>
            </w:pPr>
            <w:r>
              <w:rPr>
                <w:rFonts w:ascii="Calibri" w:hAnsi="Calibri"/>
                <w:color w:val="1A233A"/>
                <w:sz w:val="19"/>
              </w:rPr>
              <w:t>Medio</w:t>
            </w:r>
          </w:p>
        </w:tc>
      </w:tr>
      <w:tr>
        <w:tc>
          <w:tcPr>
            <w:tcW w:type="dxa" w:w="1746"/>
            <w:vAlign w:val="center"/>
          </w:tcPr>
          <w:p>
            <w:pPr>
              <w:spacing w:before="60" w:after="60"/>
            </w:pPr>
            <w:r>
              <w:rPr>
                <w:rFonts w:ascii="Calibri" w:hAnsi="Calibri"/>
                <w:color w:val="1A233A"/>
                <w:sz w:val="19"/>
              </w:rPr>
              <w:t>9</w:t>
            </w:r>
          </w:p>
        </w:tc>
        <w:tc>
          <w:tcPr>
            <w:tcW w:type="dxa" w:w="1746"/>
            <w:vAlign w:val="center"/>
          </w:tcPr>
          <w:p>
            <w:pPr>
              <w:spacing w:before="60" w:after="60"/>
            </w:pPr>
            <w:r>
              <w:rPr>
                <w:rFonts w:ascii="Calibri" w:hAnsi="Calibri"/>
                <w:color w:val="1A233A"/>
                <w:sz w:val="19"/>
              </w:rPr>
              <w:t>Relación con gobernadores (índice)</w:t>
            </w:r>
          </w:p>
        </w:tc>
        <w:tc>
          <w:tcPr>
            <w:tcW w:type="dxa" w:w="1746"/>
            <w:vAlign w:val="center"/>
          </w:tcPr>
          <w:p>
            <w:pPr>
              <w:spacing w:before="60" w:after="60"/>
            </w:pPr>
            <w:r>
              <w:rPr>
                <w:rFonts w:ascii="Calibri" w:hAnsi="Calibri"/>
                <w:color w:val="1A233A"/>
                <w:sz w:val="19"/>
              </w:rPr>
              <w:t>Política</w:t>
            </w:r>
          </w:p>
        </w:tc>
        <w:tc>
          <w:tcPr>
            <w:tcW w:type="dxa" w:w="1746"/>
            <w:vAlign w:val="center"/>
          </w:tcPr>
          <w:p>
            <w:pPr>
              <w:spacing w:before="60" w:after="60"/>
            </w:pPr>
            <w:r>
              <w:rPr>
                <w:rFonts w:ascii="Calibri" w:hAnsi="Calibri"/>
                <w:color w:val="1A233A"/>
                <w:sz w:val="19"/>
              </w:rPr>
              <w:t>Construcción CIGOB</w:t>
            </w:r>
          </w:p>
        </w:tc>
        <w:tc>
          <w:tcPr>
            <w:tcW w:type="dxa" w:w="1746"/>
            <w:vAlign w:val="center"/>
          </w:tcPr>
          <w:p>
            <w:pPr>
              <w:spacing w:before="60" w:after="60"/>
            </w:pPr>
            <w:r>
              <w:rPr>
                <w:rFonts w:ascii="Calibri" w:hAnsi="Calibri"/>
                <w:color w:val="1A233A"/>
                <w:sz w:val="19"/>
              </w:rPr>
              <w:t>Medio</w:t>
            </w:r>
          </w:p>
        </w:tc>
      </w:tr>
      <w:tr>
        <w:tc>
          <w:tcPr>
            <w:tcW w:type="dxa" w:w="1746"/>
            <w:vAlign w:val="center"/>
            <w:shd w:val="clear" w:color="auto" w:fill="EBF4FD"/>
          </w:tcPr>
          <w:p>
            <w:pPr>
              <w:spacing w:before="60" w:after="60"/>
            </w:pPr>
            <w:r>
              <w:rPr>
                <w:rFonts w:ascii="Calibri" w:hAnsi="Calibri"/>
                <w:color w:val="1A233A"/>
                <w:sz w:val="19"/>
              </w:rPr>
              <w:t>10</w:t>
            </w:r>
          </w:p>
        </w:tc>
        <w:tc>
          <w:tcPr>
            <w:tcW w:type="dxa" w:w="1746"/>
            <w:vAlign w:val="center"/>
            <w:shd w:val="clear" w:color="auto" w:fill="EBF4FD"/>
          </w:tcPr>
          <w:p>
            <w:pPr>
              <w:spacing w:before="60" w:after="60"/>
            </w:pPr>
            <w:r>
              <w:rPr>
                <w:rFonts w:ascii="Calibri" w:hAnsi="Calibri"/>
                <w:color w:val="1A233A"/>
                <w:sz w:val="19"/>
              </w:rPr>
              <w:t>Ejecución presupuestaria por jurisdicción</w:t>
            </w:r>
          </w:p>
        </w:tc>
        <w:tc>
          <w:tcPr>
            <w:tcW w:type="dxa" w:w="1746"/>
            <w:vAlign w:val="center"/>
            <w:shd w:val="clear" w:color="auto" w:fill="EBF4FD"/>
          </w:tcPr>
          <w:p>
            <w:pPr>
              <w:spacing w:before="60" w:after="60"/>
            </w:pPr>
            <w:r>
              <w:rPr>
                <w:rFonts w:ascii="Calibri" w:hAnsi="Calibri"/>
                <w:color w:val="1A233A"/>
                <w:sz w:val="19"/>
              </w:rPr>
              <w:t>Gestión</w:t>
            </w:r>
          </w:p>
        </w:tc>
        <w:tc>
          <w:tcPr>
            <w:tcW w:type="dxa" w:w="1746"/>
            <w:vAlign w:val="center"/>
            <w:shd w:val="clear" w:color="auto" w:fill="EBF4FD"/>
          </w:tcPr>
          <w:p>
            <w:pPr>
              <w:spacing w:before="60" w:after="60"/>
            </w:pPr>
            <w:r>
              <w:rPr>
                <w:rFonts w:ascii="Calibri" w:hAnsi="Calibri"/>
                <w:color w:val="1A233A"/>
                <w:sz w:val="19"/>
              </w:rPr>
              <w:t>MECON Presupuesto Abierto</w:t>
            </w:r>
          </w:p>
        </w:tc>
        <w:tc>
          <w:tcPr>
            <w:tcW w:type="dxa" w:w="1746"/>
            <w:vAlign w:val="center"/>
            <w:shd w:val="clear" w:color="auto" w:fill="EBF4FD"/>
          </w:tcPr>
          <w:p>
            <w:pPr>
              <w:spacing w:before="60" w:after="60"/>
            </w:pPr>
            <w:r>
              <w:rPr>
                <w:rFonts w:ascii="Calibri" w:hAnsi="Calibri"/>
                <w:color w:val="1A233A"/>
                <w:sz w:val="19"/>
              </w:rPr>
              <w:t>Bajo</w:t>
            </w:r>
          </w:p>
        </w:tc>
      </w:tr>
      <w:tr>
        <w:tc>
          <w:tcPr>
            <w:tcW w:type="dxa" w:w="1746"/>
            <w:vAlign w:val="center"/>
          </w:tcPr>
          <w:p>
            <w:pPr>
              <w:spacing w:before="60" w:after="60"/>
            </w:pPr>
            <w:r>
              <w:rPr>
                <w:rFonts w:ascii="Calibri" w:hAnsi="Calibri"/>
                <w:color w:val="1A233A"/>
                <w:sz w:val="19"/>
              </w:rPr>
              <w:t>11</w:t>
            </w:r>
          </w:p>
        </w:tc>
        <w:tc>
          <w:tcPr>
            <w:tcW w:type="dxa" w:w="1746"/>
            <w:vAlign w:val="center"/>
          </w:tcPr>
          <w:p>
            <w:pPr>
              <w:spacing w:before="60" w:after="60"/>
            </w:pPr>
            <w:r>
              <w:rPr>
                <w:rFonts w:ascii="Calibri" w:hAnsi="Calibri"/>
                <w:color w:val="1A233A"/>
                <w:sz w:val="19"/>
              </w:rPr>
              <w:t>Tiempos de tramitación TAD</w:t>
            </w:r>
          </w:p>
        </w:tc>
        <w:tc>
          <w:tcPr>
            <w:tcW w:type="dxa" w:w="1746"/>
            <w:vAlign w:val="center"/>
          </w:tcPr>
          <w:p>
            <w:pPr>
              <w:spacing w:before="60" w:after="60"/>
            </w:pPr>
            <w:r>
              <w:rPr>
                <w:rFonts w:ascii="Calibri" w:hAnsi="Calibri"/>
                <w:color w:val="1A233A"/>
                <w:sz w:val="19"/>
              </w:rPr>
              <w:t>Gestión</w:t>
            </w:r>
          </w:p>
        </w:tc>
        <w:tc>
          <w:tcPr>
            <w:tcW w:type="dxa" w:w="1746"/>
            <w:vAlign w:val="center"/>
          </w:tcPr>
          <w:p>
            <w:pPr>
              <w:spacing w:before="60" w:after="60"/>
            </w:pPr>
            <w:r>
              <w:rPr>
                <w:rFonts w:ascii="Calibri" w:hAnsi="Calibri"/>
                <w:color w:val="1A233A"/>
                <w:sz w:val="19"/>
              </w:rPr>
              <w:t>TAD agregado</w:t>
            </w:r>
          </w:p>
        </w:tc>
        <w:tc>
          <w:tcPr>
            <w:tcW w:type="dxa" w:w="1746"/>
            <w:vAlign w:val="center"/>
          </w:tcPr>
          <w:p>
            <w:pPr>
              <w:spacing w:before="60" w:after="60"/>
            </w:pPr>
            <w:r>
              <w:rPr>
                <w:rFonts w:ascii="Calibri" w:hAnsi="Calibri"/>
                <w:color w:val="1A233A"/>
                <w:sz w:val="19"/>
              </w:rPr>
              <w:t>Medio</w:t>
            </w:r>
          </w:p>
        </w:tc>
      </w:tr>
      <w:tr>
        <w:tc>
          <w:tcPr>
            <w:tcW w:type="dxa" w:w="1746"/>
            <w:vAlign w:val="center"/>
            <w:shd w:val="clear" w:color="auto" w:fill="EBF4FD"/>
          </w:tcPr>
          <w:p>
            <w:pPr>
              <w:spacing w:before="60" w:after="60"/>
            </w:pPr>
            <w:r>
              <w:rPr>
                <w:rFonts w:ascii="Calibri" w:hAnsi="Calibri"/>
                <w:color w:val="1A233A"/>
                <w:sz w:val="19"/>
              </w:rPr>
              <w:t>12</w:t>
            </w:r>
          </w:p>
        </w:tc>
        <w:tc>
          <w:tcPr>
            <w:tcW w:type="dxa" w:w="1746"/>
            <w:vAlign w:val="center"/>
            <w:shd w:val="clear" w:color="auto" w:fill="EBF4FD"/>
          </w:tcPr>
          <w:p>
            <w:pPr>
              <w:spacing w:before="60" w:after="60"/>
            </w:pPr>
            <w:r>
              <w:rPr>
                <w:rFonts w:ascii="Calibri" w:hAnsi="Calibri"/>
                <w:color w:val="1A233A"/>
                <w:sz w:val="19"/>
              </w:rPr>
              <w:t>Stock deuda / PBI</w:t>
            </w:r>
          </w:p>
        </w:tc>
        <w:tc>
          <w:tcPr>
            <w:tcW w:type="dxa" w:w="1746"/>
            <w:vAlign w:val="center"/>
            <w:shd w:val="clear" w:color="auto" w:fill="EBF4FD"/>
          </w:tcPr>
          <w:p>
            <w:pPr>
              <w:spacing w:before="60" w:after="60"/>
            </w:pPr>
            <w:r>
              <w:rPr>
                <w:rFonts w:ascii="Calibri" w:hAnsi="Calibri"/>
                <w:color w:val="1A233A"/>
                <w:sz w:val="19"/>
              </w:rPr>
              <w:t>Macro</w:t>
            </w:r>
          </w:p>
        </w:tc>
        <w:tc>
          <w:tcPr>
            <w:tcW w:type="dxa" w:w="1746"/>
            <w:vAlign w:val="center"/>
            <w:shd w:val="clear" w:color="auto" w:fill="EBF4FD"/>
          </w:tcPr>
          <w:p>
            <w:pPr>
              <w:spacing w:before="60" w:after="60"/>
            </w:pPr>
            <w:r>
              <w:rPr>
                <w:rFonts w:ascii="Calibri" w:hAnsi="Calibri"/>
                <w:color w:val="1A233A"/>
                <w:sz w:val="19"/>
              </w:rPr>
              <w:t>Min. Finanzas</w:t>
            </w:r>
          </w:p>
        </w:tc>
        <w:tc>
          <w:tcPr>
            <w:tcW w:type="dxa" w:w="1746"/>
            <w:vAlign w:val="center"/>
            <w:shd w:val="clear" w:color="auto" w:fill="EBF4FD"/>
          </w:tcPr>
          <w:p>
            <w:pPr>
              <w:spacing w:before="60" w:after="60"/>
            </w:pPr>
            <w:r>
              <w:rPr>
                <w:rFonts w:ascii="Calibri" w:hAnsi="Calibri"/>
                <w:color w:val="1A233A"/>
                <w:sz w:val="19"/>
              </w:rPr>
              <w:t>Bajo</w:t>
            </w:r>
          </w:p>
        </w:tc>
      </w:tr>
    </w:tbl>
    <w:p/>
    <w:p>
      <w:pPr>
        <w:spacing w:before="120" w:after="120"/>
      </w:pPr>
      <w:r>
        <w:rPr>
          <w:rFonts w:ascii="Calibri" w:hAnsi="Calibri"/>
          <w:b/>
          <w:color w:val="3A8FC9"/>
          <w:sz w:val="26"/>
        </w:rPr>
        <w:t>Redundantes o débiles a refundir</w:t>
      </w:r>
    </w:p>
    <w:p>
      <w:pPr>
        <w:spacing w:after="60"/>
        <w:ind w:left="454" w:hanging="283"/>
      </w:pPr>
      <w:r>
        <w:rPr>
          <w:rFonts w:ascii="Calibri" w:hAnsi="Calibri"/>
          <w:b w:val="0"/>
          <w:color w:val="1E5F9E"/>
          <w:sz w:val="22"/>
        </w:rPr>
        <w:t xml:space="preserve">•  </w:t>
      </w:r>
      <w:r>
        <w:rPr>
          <w:rFonts w:ascii="Calibri" w:hAnsi="Calibri"/>
          <w:b/>
          <w:i w:val="0"/>
          <w:sz w:val="22"/>
        </w:rPr>
        <w:t>Aprobación + Votómetro</w:t>
      </w:r>
      <w:r>
        <w:rPr>
          <w:rFonts w:ascii="Calibri" w:hAnsi="Calibri"/>
          <w:b w:val="0"/>
          <w:i w:val="0"/>
          <w:sz w:val="22"/>
        </w:rPr>
        <w:t>: refundir en un panel unificado de capital político con descomposición.</w:t>
      </w:r>
    </w:p>
    <w:p>
      <w:pPr>
        <w:spacing w:after="60"/>
        <w:ind w:left="454" w:hanging="283"/>
      </w:pPr>
      <w:r>
        <w:rPr>
          <w:rFonts w:ascii="Calibri" w:hAnsi="Calibri"/>
          <w:b w:val="0"/>
          <w:color w:val="1E5F9E"/>
          <w:sz w:val="22"/>
        </w:rPr>
        <w:t xml:space="preserve">•  </w:t>
      </w:r>
      <w:r>
        <w:rPr>
          <w:rFonts w:ascii="Calibri" w:hAnsi="Calibri"/>
          <w:b/>
          <w:i w:val="0"/>
          <w:sz w:val="22"/>
        </w:rPr>
        <w:t>PyME + cemento</w:t>
      </w:r>
      <w:r>
        <w:rPr>
          <w:rFonts w:ascii="Calibri" w:hAnsi="Calibri"/>
          <w:b w:val="0"/>
          <w:i w:val="0"/>
          <w:sz w:val="22"/>
        </w:rPr>
        <w:t>: ambos son proxies de actividad real. Refundir como "actividad económica popular" o migrar al cinturón Macro como subíndice.</w:t>
      </w:r>
    </w:p>
    <w:p>
      <w:pPr>
        <w:spacing w:after="60"/>
        <w:ind w:left="454" w:hanging="283"/>
      </w:pPr>
      <w:r>
        <w:rPr>
          <w:rFonts w:ascii="Calibri" w:hAnsi="Calibri"/>
          <w:b w:val="0"/>
          <w:color w:val="1E5F9E"/>
          <w:sz w:val="22"/>
        </w:rPr>
        <w:t xml:space="preserve">•  </w:t>
      </w:r>
      <w:r>
        <w:rPr>
          <w:rFonts w:ascii="Calibri" w:hAnsi="Calibri"/>
          <w:b/>
          <w:i w:val="0"/>
          <w:sz w:val="22"/>
        </w:rPr>
        <w:t>Conflictividad política / social / productividad estatal</w:t>
      </w:r>
      <w:r>
        <w:rPr>
          <w:rFonts w:ascii="Calibri" w:hAnsi="Calibri"/>
          <w:b w:val="0"/>
          <w:i w:val="0"/>
          <w:sz w:val="22"/>
        </w:rPr>
        <w:t>: tres compuestos opacos. Publicar metodología o desagregar.</w:t>
      </w:r>
    </w:p>
    <w:p>
      <w:pPr>
        <w:pBdr>
          <w:bottom w:val="single" w:sz="6" w:space="4" w:color="3A8FC9"/>
        </w:pBdr>
        <w:spacing w:before="120" w:after="120"/>
      </w:pPr>
    </w:p>
    <w:p>
      <w:pPr>
        <w:spacing w:before="200" w:after="120"/>
      </w:pPr>
      <w:r>
        <w:rPr>
          <w:rFonts w:ascii="Calibri" w:hAnsi="Calibri"/>
          <w:b/>
          <w:color w:val="1E5F9E"/>
          <w:sz w:val="30"/>
        </w:rPr>
        <w:t>5. Lectura estratégica para CIGOB</w:t>
      </w:r>
    </w:p>
    <w:p>
      <w:pPr>
        <w:spacing w:after="120"/>
      </w:pPr>
      <w:r>
        <w:rPr>
          <w:rFonts w:ascii="Calibri" w:hAnsi="Calibri"/>
          <w:b w:val="0"/>
          <w:i w:val="0"/>
          <w:sz w:val="22"/>
        </w:rPr>
        <w:t xml:space="preserve">El dashboard </w:t>
      </w:r>
      <w:r>
        <w:rPr>
          <w:rFonts w:ascii="Courier New" w:hAnsi="Courier New"/>
          <w:b w:val="0"/>
          <w:sz w:val="20"/>
        </w:rPr>
        <w:t>cigob.k1t.eu</w:t>
      </w:r>
      <w:r>
        <w:rPr>
          <w:rFonts w:ascii="Calibri" w:hAnsi="Calibri"/>
          <w:b w:val="0"/>
          <w:i w:val="0"/>
          <w:sz w:val="22"/>
        </w:rPr>
        <w:t xml:space="preserve"> es un </w:t>
      </w:r>
      <w:r>
        <w:rPr>
          <w:rFonts w:ascii="Calibri" w:hAnsi="Calibri"/>
          <w:b/>
          <w:i w:val="0"/>
          <w:sz w:val="22"/>
        </w:rPr>
        <w:t>buen prototipo metodológico</w:t>
      </w:r>
      <w:r>
        <w:rPr>
          <w:rFonts w:ascii="Calibri" w:hAnsi="Calibri"/>
          <w:b w:val="0"/>
          <w:i w:val="0"/>
          <w:sz w:val="22"/>
        </w:rPr>
        <w:t xml:space="preserve"> con cuatro reparaciones claras. Pero, leído desde la propuesta estratégica 2026-2027 de la fundación (3 centros: Comunicación, Estudios/CECIG, Soluciones), aparecen tres oportunidades:</w:t>
      </w:r>
    </w:p>
    <w:p>
      <w:pPr>
        <w:spacing w:after="60"/>
        <w:ind w:left="454" w:hanging="283"/>
      </w:pPr>
      <w:r>
        <w:rPr>
          <w:rFonts w:ascii="Calibri" w:hAnsi="Calibri"/>
          <w:b/>
          <w:color w:val="1A233A"/>
          <w:sz w:val="22"/>
        </w:rPr>
        <w:t xml:space="preserve">1.  </w:t>
      </w:r>
      <w:r>
        <w:rPr>
          <w:rFonts w:ascii="Calibri" w:hAnsi="Calibri"/>
          <w:b/>
          <w:i w:val="0"/>
          <w:sz w:val="22"/>
        </w:rPr>
        <w:t>El cinturón CIGOB / Gestión es el producto distintivo</w:t>
      </w:r>
      <w:r>
        <w:rPr>
          <w:rFonts w:ascii="Calibri" w:hAnsi="Calibri"/>
          <w:b w:val="0"/>
          <w:i w:val="0"/>
          <w:sz w:val="22"/>
        </w:rPr>
        <w:t xml:space="preserve"> — es el cinturón vacío en toda la tradición Matus aplicada. Convertirlo en el diferencial competitivo. Alineado con la misión "transformar la gestión subnacional" (</w:t>
      </w:r>
      <w:r>
        <w:rPr>
          <w:rFonts w:ascii="Courier New" w:hAnsi="Courier New"/>
          <w:b w:val="0"/>
          <w:sz w:val="20"/>
        </w:rPr>
        <w:t>docs/El Propósito de la Fundación Cigob.docx</w:t>
      </w:r>
      <w:r>
        <w:rPr>
          <w:rFonts w:ascii="Calibri" w:hAnsi="Calibri"/>
          <w:b w:val="0"/>
          <w:i w:val="0"/>
          <w:sz w:val="22"/>
        </w:rPr>
        <w:t>) y con el concepto propio "Estado con sensores vs Estado forense" (CLAUDE.md).</w:t>
      </w:r>
    </w:p>
    <w:p>
      <w:pPr>
        <w:spacing w:after="60"/>
        <w:ind w:left="454" w:hanging="283"/>
      </w:pPr>
      <w:r>
        <w:rPr>
          <w:rFonts w:ascii="Calibri" w:hAnsi="Calibri"/>
          <w:b/>
          <w:color w:val="1A233A"/>
          <w:sz w:val="22"/>
        </w:rPr>
        <w:t xml:space="preserve">2.  </w:t>
      </w:r>
      <w:r>
        <w:rPr>
          <w:rFonts w:ascii="Calibri" w:hAnsi="Calibri"/>
          <w:b/>
          <w:i w:val="0"/>
          <w:sz w:val="22"/>
        </w:rPr>
        <w:t>El Votómetro es un activo subutilizado por el dashboard</w:t>
      </w:r>
      <w:r>
        <w:rPr>
          <w:rFonts w:ascii="Calibri" w:hAnsi="Calibri"/>
          <w:b w:val="0"/>
          <w:i w:val="0"/>
          <w:sz w:val="22"/>
        </w:rPr>
        <w:t xml:space="preserve"> — la pestaña Política consume solo el agregado nacional. Hay desagregación provincial, comparación de líderes y serie histórica que el dashboard ignora.</w:t>
      </w:r>
    </w:p>
    <w:p>
      <w:pPr>
        <w:spacing w:after="60"/>
        <w:ind w:left="454" w:hanging="283"/>
      </w:pPr>
      <w:r>
        <w:rPr>
          <w:rFonts w:ascii="Calibri" w:hAnsi="Calibri"/>
          <w:b/>
          <w:color w:val="1A233A"/>
          <w:sz w:val="22"/>
        </w:rPr>
        <w:t xml:space="preserve">3.  </w:t>
      </w:r>
      <w:r>
        <w:rPr>
          <w:rFonts w:ascii="Calibri" w:hAnsi="Calibri"/>
          <w:b/>
          <w:i w:val="0"/>
          <w:sz w:val="22"/>
        </w:rPr>
        <w:t>El Triángulo de Gobierno completo (proyecto + capacidad + gobernabilidad)</w:t>
      </w:r>
      <w:r>
        <w:rPr>
          <w:rFonts w:ascii="Calibri" w:hAnsi="Calibri"/>
          <w:b w:val="0"/>
          <w:i w:val="0"/>
          <w:sz w:val="22"/>
        </w:rPr>
        <w:t xml:space="preserve"> es lo que ningún tablero argentino mide hoy. CIGOB tiene la posición intelectual y las relaciones provinciales para construirlo.</w:t>
      </w:r>
    </w:p>
    <w:p>
      <w:pPr>
        <w:spacing w:after="120"/>
      </w:pPr>
      <w:r>
        <w:rPr>
          <w:rFonts w:ascii="Calibri" w:hAnsi="Calibri"/>
          <w:b/>
          <w:i w:val="0"/>
          <w:sz w:val="22"/>
        </w:rPr>
        <w:t>Priorización recomendada</w:t>
      </w:r>
      <w:r>
        <w:rPr>
          <w:rFonts w:ascii="Calibri" w:hAnsi="Calibri"/>
          <w:b w:val="0"/>
          <w:i w:val="0"/>
          <w:sz w:val="22"/>
        </w:rPr>
        <w:t>:</w:t>
      </w:r>
    </w:p>
    <w:p>
      <w:pPr>
        <w:spacing w:after="60"/>
        <w:ind w:left="454" w:hanging="283"/>
      </w:pPr>
      <w:r>
        <w:rPr>
          <w:rFonts w:ascii="Calibri" w:hAnsi="Calibri"/>
          <w:b w:val="0"/>
          <w:color w:val="1E5F9E"/>
          <w:sz w:val="22"/>
        </w:rPr>
        <w:t xml:space="preserve">•  </w:t>
      </w:r>
      <w:r>
        <w:rPr>
          <w:rFonts w:ascii="Calibri" w:hAnsi="Calibri"/>
          <w:b/>
          <w:i w:val="0"/>
          <w:sz w:val="22"/>
        </w:rPr>
        <w:t>Q1</w:t>
      </w:r>
      <w:r>
        <w:rPr>
          <w:rFonts w:ascii="Calibri" w:hAnsi="Calibri"/>
          <w:b w:val="0"/>
          <w:i w:val="0"/>
          <w:sz w:val="22"/>
        </w:rPr>
        <w:t>: completar Vida Cotidiana con pobreza + desempleo + homicidios; agregar EMAE y desempleo a Macro; transparentar fórmulas de los tres compuestos opacos.</w:t>
      </w:r>
    </w:p>
    <w:p>
      <w:pPr>
        <w:spacing w:after="60"/>
        <w:ind w:left="454" w:hanging="283"/>
      </w:pPr>
      <w:r>
        <w:rPr>
          <w:rFonts w:ascii="Calibri" w:hAnsi="Calibri"/>
          <w:b w:val="0"/>
          <w:color w:val="1E5F9E"/>
          <w:sz w:val="22"/>
        </w:rPr>
        <w:t xml:space="preserve">•  </w:t>
      </w:r>
      <w:r>
        <w:rPr>
          <w:rFonts w:ascii="Calibri" w:hAnsi="Calibri"/>
          <w:b/>
          <w:i w:val="0"/>
          <w:sz w:val="22"/>
        </w:rPr>
        <w:t>Q2</w:t>
      </w:r>
      <w:r>
        <w:rPr>
          <w:rFonts w:ascii="Calibri" w:hAnsi="Calibri"/>
          <w:b w:val="0"/>
          <w:i w:val="0"/>
          <w:sz w:val="22"/>
        </w:rPr>
        <w:t>: agregar deltas por indicador y matriz de interacción; ampliar Política con DNU + cohesión oficialismo + relaciones con gobernadores.</w:t>
      </w:r>
    </w:p>
    <w:p>
      <w:pPr>
        <w:spacing w:after="60"/>
        <w:ind w:left="454" w:hanging="283"/>
      </w:pPr>
      <w:r>
        <w:rPr>
          <w:rFonts w:ascii="Calibri" w:hAnsi="Calibri"/>
          <w:b w:val="0"/>
          <w:color w:val="1E5F9E"/>
          <w:sz w:val="22"/>
        </w:rPr>
        <w:t xml:space="preserve">•  </w:t>
      </w:r>
      <w:r>
        <w:rPr>
          <w:rFonts w:ascii="Calibri" w:hAnsi="Calibri"/>
          <w:b/>
          <w:i w:val="0"/>
          <w:sz w:val="22"/>
        </w:rPr>
        <w:t>Q3-Q4</w:t>
      </w:r>
      <w:r>
        <w:rPr>
          <w:rFonts w:ascii="Calibri" w:hAnsi="Calibri"/>
          <w:b w:val="0"/>
          <w:i w:val="0"/>
          <w:sz w:val="22"/>
        </w:rPr>
        <w:t>: construir el cinturón CIGOB / Gestión como producto institucional con datos subnacionales propios.</w:t>
      </w:r>
    </w:p>
    <w:p>
      <w:pPr>
        <w:pBdr>
          <w:bottom w:val="single" w:sz="6" w:space="4" w:color="3A8FC9"/>
        </w:pBdr>
        <w:spacing w:before="120" w:after="120"/>
      </w:pPr>
    </w:p>
    <w:p>
      <w:pPr>
        <w:spacing w:before="200" w:after="120"/>
      </w:pPr>
      <w:r>
        <w:rPr>
          <w:rFonts w:ascii="Calibri" w:hAnsi="Calibri"/>
          <w:b/>
          <w:color w:val="1E5F9E"/>
          <w:sz w:val="30"/>
        </w:rPr>
        <w:t>6. Índice de archivos del análisis</w:t>
      </w:r>
    </w:p>
    <w:tbl>
      <w:tblPr>
        <w:tblStyle w:val="TableGrid"/>
        <w:tblW w:type="auto" w:w="0"/>
        <w:jc w:val="left"/>
        <w:tblLook w:firstColumn="1" w:firstRow="1" w:lastColumn="0" w:lastRow="0" w:noHBand="0" w:noVBand="1" w:val="04A0"/>
      </w:tblPr>
      <w:tblGrid>
        <w:gridCol w:w="4366"/>
        <w:gridCol w:w="4366"/>
      </w:tblGrid>
      <w:tr>
        <w:tc>
          <w:tcPr>
            <w:tcW w:type="dxa" w:w="4366"/>
            <w:vAlign w:val="center"/>
            <w:shd w:val="clear" w:color="auto" w:fill="1E5F9E"/>
          </w:tcPr>
          <w:p>
            <w:pPr>
              <w:spacing w:before="80" w:after="80"/>
            </w:pPr>
            <w:r>
              <w:rPr>
                <w:rFonts w:ascii="Calibri" w:hAnsi="Calibri"/>
                <w:b/>
                <w:color w:val="FFFFFF"/>
                <w:sz w:val="20"/>
              </w:rPr>
              <w:t>Archivo</w:t>
            </w:r>
          </w:p>
        </w:tc>
        <w:tc>
          <w:tcPr>
            <w:tcW w:type="dxa" w:w="4366"/>
            <w:vAlign w:val="center"/>
            <w:shd w:val="clear" w:color="auto" w:fill="1E5F9E"/>
          </w:tcPr>
          <w:p>
            <w:pPr>
              <w:spacing w:before="80" w:after="80"/>
            </w:pPr>
            <w:r>
              <w:rPr>
                <w:rFonts w:ascii="Calibri" w:hAnsi="Calibri"/>
                <w:b/>
                <w:color w:val="FFFFFF"/>
                <w:sz w:val="20"/>
              </w:rPr>
              <w:t>Contenido</w:t>
            </w:r>
          </w:p>
        </w:tc>
      </w:tr>
      <w:tr>
        <w:tc>
          <w:tcPr>
            <w:tcW w:type="dxa" w:w="4366"/>
            <w:vAlign w:val="center"/>
          </w:tcPr>
          <w:p>
            <w:pPr>
              <w:spacing w:before="60" w:after="60"/>
            </w:pPr>
            <w:r>
              <w:rPr>
                <w:rFonts w:ascii="Calibri" w:hAnsi="Calibri"/>
                <w:color w:val="1A233A"/>
                <w:sz w:val="19"/>
              </w:rPr>
              <w:t>_brief_matus.md</w:t>
            </w:r>
          </w:p>
        </w:tc>
        <w:tc>
          <w:tcPr>
            <w:tcW w:type="dxa" w:w="4366"/>
            <w:vAlign w:val="center"/>
          </w:tcPr>
          <w:p>
            <w:pPr>
              <w:spacing w:before="60" w:after="60"/>
            </w:pPr>
            <w:r>
              <w:rPr>
                <w:rFonts w:ascii="Calibri" w:hAnsi="Calibri"/>
                <w:color w:val="1A233A"/>
                <w:sz w:val="19"/>
              </w:rPr>
              <w:t>Brief metodológico común a los cinco análisis (Matus, Triángulo, cinturones, barbarismos, datos compartidos).</w:t>
            </w:r>
          </w:p>
        </w:tc>
      </w:tr>
      <w:tr>
        <w:tc>
          <w:tcPr>
            <w:tcW w:type="dxa" w:w="4366"/>
            <w:vAlign w:val="center"/>
            <w:shd w:val="clear" w:color="auto" w:fill="EBF4FD"/>
          </w:tcPr>
          <w:p>
            <w:pPr>
              <w:spacing w:before="60" w:after="60"/>
            </w:pPr>
            <w:r>
              <w:rPr>
                <w:rFonts w:ascii="Calibri" w:hAnsi="Calibri"/>
                <w:color w:val="1A233A"/>
                <w:sz w:val="19"/>
              </w:rPr>
              <w:t>01_marco_metodologico_matusiano.md</w:t>
            </w:r>
          </w:p>
        </w:tc>
        <w:tc>
          <w:tcPr>
            <w:tcW w:type="dxa" w:w="4366"/>
            <w:vAlign w:val="center"/>
            <w:shd w:val="clear" w:color="auto" w:fill="EBF4FD"/>
          </w:tcPr>
          <w:p>
            <w:pPr>
              <w:spacing w:before="60" w:after="60"/>
            </w:pPr>
            <w:r>
              <w:rPr>
                <w:rFonts w:ascii="Calibri" w:hAnsi="Calibri"/>
                <w:color w:val="1A233A"/>
                <w:sz w:val="19"/>
              </w:rPr>
              <w:t>Crítica de la fidelidad metodológica del dashboard al PES. 7 propuestas de mejora.</w:t>
            </w:r>
          </w:p>
        </w:tc>
      </w:tr>
      <w:tr>
        <w:tc>
          <w:tcPr>
            <w:tcW w:type="dxa" w:w="4366"/>
            <w:vAlign w:val="center"/>
          </w:tcPr>
          <w:p>
            <w:pPr>
              <w:spacing w:before="60" w:after="60"/>
            </w:pPr>
            <w:r>
              <w:rPr>
                <w:rFonts w:ascii="Calibri" w:hAnsi="Calibri"/>
                <w:color w:val="1A233A"/>
                <w:sz w:val="19"/>
              </w:rPr>
              <w:t>02_pestana_macroeconomia.md</w:t>
            </w:r>
          </w:p>
        </w:tc>
        <w:tc>
          <w:tcPr>
            <w:tcW w:type="dxa" w:w="4366"/>
            <w:vAlign w:val="center"/>
          </w:tcPr>
          <w:p>
            <w:pPr>
              <w:spacing w:before="60" w:after="60"/>
            </w:pPr>
            <w:r>
              <w:rPr>
                <w:rFonts w:ascii="Calibri" w:hAnsi="Calibri"/>
                <w:color w:val="1A233A"/>
                <w:sz w:val="19"/>
              </w:rPr>
              <w:t>Análisis del Cinturón Económico. 7 indicadores presentes + faltantes + barbarismo tecnocrático.</w:t>
            </w:r>
          </w:p>
        </w:tc>
      </w:tr>
      <w:tr>
        <w:tc>
          <w:tcPr>
            <w:tcW w:type="dxa" w:w="4366"/>
            <w:vAlign w:val="center"/>
            <w:shd w:val="clear" w:color="auto" w:fill="EBF4FD"/>
          </w:tcPr>
          <w:p>
            <w:pPr>
              <w:spacing w:before="60" w:after="60"/>
            </w:pPr>
            <w:r>
              <w:rPr>
                <w:rFonts w:ascii="Calibri" w:hAnsi="Calibri"/>
                <w:color w:val="1A233A"/>
                <w:sz w:val="19"/>
              </w:rPr>
              <w:t>03_pestana_politica.md</w:t>
            </w:r>
          </w:p>
        </w:tc>
        <w:tc>
          <w:tcPr>
            <w:tcW w:type="dxa" w:w="4366"/>
            <w:vAlign w:val="center"/>
            <w:shd w:val="clear" w:color="auto" w:fill="EBF4FD"/>
          </w:tcPr>
          <w:p>
            <w:pPr>
              <w:spacing w:before="60" w:after="60"/>
            </w:pPr>
            <w:r>
              <w:rPr>
                <w:rFonts w:ascii="Calibri" w:hAnsi="Calibri"/>
                <w:color w:val="1A233A"/>
                <w:sz w:val="19"/>
              </w:rPr>
              <w:t>Análisis del Cinturón Político. 4 indicadores + faltantes + barbarismo político/demagógico + integración Votómetro.</w:t>
            </w:r>
          </w:p>
        </w:tc>
      </w:tr>
      <w:tr>
        <w:tc>
          <w:tcPr>
            <w:tcW w:type="dxa" w:w="4366"/>
            <w:vAlign w:val="center"/>
          </w:tcPr>
          <w:p>
            <w:pPr>
              <w:spacing w:before="60" w:after="60"/>
            </w:pPr>
            <w:r>
              <w:rPr>
                <w:rFonts w:ascii="Calibri" w:hAnsi="Calibri"/>
                <w:color w:val="1A233A"/>
                <w:sz w:val="19"/>
              </w:rPr>
              <w:t>04_pestana_vida_cotidiana.md</w:t>
            </w:r>
          </w:p>
        </w:tc>
        <w:tc>
          <w:tcPr>
            <w:tcW w:type="dxa" w:w="4366"/>
            <w:vAlign w:val="center"/>
          </w:tcPr>
          <w:p>
            <w:pPr>
              <w:spacing w:before="60" w:after="60"/>
            </w:pPr>
            <w:r>
              <w:rPr>
                <w:rFonts w:ascii="Calibri" w:hAnsi="Calibri"/>
                <w:color w:val="1A233A"/>
                <w:sz w:val="19"/>
              </w:rPr>
              <w:t>Análisis del Cinturón de Vida Cotidiana. Crítica del renombramiento "Licencia Social".</w:t>
            </w:r>
          </w:p>
        </w:tc>
      </w:tr>
      <w:tr>
        <w:tc>
          <w:tcPr>
            <w:tcW w:type="dxa" w:w="4366"/>
            <w:vAlign w:val="center"/>
            <w:shd w:val="clear" w:color="auto" w:fill="EBF4FD"/>
          </w:tcPr>
          <w:p>
            <w:pPr>
              <w:spacing w:before="60" w:after="60"/>
            </w:pPr>
            <w:r>
              <w:rPr>
                <w:rFonts w:ascii="Calibri" w:hAnsi="Calibri"/>
                <w:color w:val="1A233A"/>
                <w:sz w:val="19"/>
              </w:rPr>
              <w:t>05_pestana_gestion_cinturon_cigob.md</w:t>
            </w:r>
          </w:p>
        </w:tc>
        <w:tc>
          <w:tcPr>
            <w:tcW w:type="dxa" w:w="4366"/>
            <w:vAlign w:val="center"/>
            <w:shd w:val="clear" w:color="auto" w:fill="EBF4FD"/>
          </w:tcPr>
          <w:p>
            <w:pPr>
              <w:spacing w:before="60" w:after="60"/>
            </w:pPr>
            <w:r>
              <w:rPr>
                <w:rFonts w:ascii="Calibri" w:hAnsi="Calibri"/>
                <w:color w:val="1A233A"/>
                <w:sz w:val="19"/>
              </w:rPr>
              <w:t>Análisis del 4º cinturón (juego macroorganizativo). Oportunidad estratégica para CIGOB.</w:t>
            </w:r>
          </w:p>
        </w:tc>
      </w:tr>
      <w:tr>
        <w:tc>
          <w:tcPr>
            <w:tcW w:type="dxa" w:w="4366"/>
            <w:vAlign w:val="center"/>
          </w:tcPr>
          <w:p>
            <w:pPr>
              <w:spacing w:before="60" w:after="60"/>
            </w:pPr>
            <w:r>
              <w:rPr>
                <w:rFonts w:ascii="Calibri" w:hAnsi="Calibri"/>
                <w:color w:val="1A233A"/>
                <w:sz w:val="19"/>
              </w:rPr>
              <w:t>00_resumen_ejecutivo.md</w:t>
            </w:r>
          </w:p>
        </w:tc>
        <w:tc>
          <w:tcPr>
            <w:tcW w:type="dxa" w:w="4366"/>
            <w:vAlign w:val="center"/>
          </w:tcPr>
          <w:p>
            <w:pPr>
              <w:spacing w:before="60" w:after="60"/>
            </w:pPr>
            <w:r>
              <w:rPr>
                <w:rFonts w:ascii="Calibri" w:hAnsi="Calibri"/>
                <w:color w:val="1A233A"/>
                <w:sz w:val="19"/>
              </w:rPr>
              <w:t>Este archivo.</w:t>
            </w:r>
          </w:p>
        </w:tc>
      </w:tr>
    </w:tbl>
    <w:p/>
    <w:p>
      <w:pPr>
        <w:pBdr>
          <w:bottom w:val="single" w:sz="6" w:space="4" w:color="3A8FC9"/>
        </w:pBdr>
        <w:spacing w:before="120" w:after="120"/>
      </w:pPr>
    </w:p>
    <w:p>
      <w:pPr>
        <w:spacing w:before="200" w:after="120"/>
      </w:pPr>
      <w:r>
        <w:rPr>
          <w:rFonts w:ascii="Calibri" w:hAnsi="Calibri"/>
          <w:b/>
          <w:color w:val="1E5F9E"/>
          <w:sz w:val="30"/>
        </w:rPr>
        <w:t>7. Hipótesis y limitaciones del análisis</w:t>
      </w:r>
    </w:p>
    <w:p>
      <w:pPr>
        <w:spacing w:after="60"/>
        <w:ind w:left="454" w:hanging="283"/>
      </w:pPr>
      <w:r>
        <w:rPr>
          <w:rFonts w:ascii="Calibri" w:hAnsi="Calibri"/>
          <w:b w:val="0"/>
          <w:color w:val="1E5F9E"/>
          <w:sz w:val="22"/>
        </w:rPr>
        <w:t xml:space="preserve">•  </w:t>
      </w:r>
      <w:r>
        <w:rPr>
          <w:rFonts w:ascii="Calibri" w:hAnsi="Calibri"/>
          <w:b w:val="0"/>
          <w:i w:val="0"/>
          <w:sz w:val="22"/>
        </w:rPr>
        <w:t>El sitio es estático y la página principal no expone fórmulas exactas de scoring; los umbrales (≥+30 / 0-29 / &lt;0) provienen del DOM capturado y se trataron como hipótesis razonable.</w:t>
      </w:r>
    </w:p>
    <w:p>
      <w:pPr>
        <w:spacing w:after="60"/>
        <w:ind w:left="454" w:hanging="283"/>
      </w:pPr>
      <w:r>
        <w:rPr>
          <w:rFonts w:ascii="Calibri" w:hAnsi="Calibri"/>
          <w:b w:val="0"/>
          <w:color w:val="1E5F9E"/>
          <w:sz w:val="22"/>
        </w:rPr>
        <w:t xml:space="preserve">•  </w:t>
      </w:r>
      <w:r>
        <w:rPr>
          <w:rFonts w:ascii="Calibri" w:hAnsi="Calibri"/>
          <w:b w:val="0"/>
          <w:i w:val="0"/>
          <w:sz w:val="22"/>
        </w:rPr>
        <w:t>Tres compuestos (conflictividad política, conflictividad social, productividad estatal) son cajas negras. La crítica de opacidad es ineludible mientras no se publique metodología.</w:t>
      </w:r>
    </w:p>
    <w:p>
      <w:pPr>
        <w:spacing w:after="60"/>
        <w:ind w:left="454" w:hanging="283"/>
      </w:pPr>
      <w:r>
        <w:rPr>
          <w:rFonts w:ascii="Calibri" w:hAnsi="Calibri"/>
          <w:b w:val="0"/>
          <w:color w:val="1E5F9E"/>
          <w:sz w:val="22"/>
        </w:rPr>
        <w:t xml:space="preserve">•  </w:t>
      </w:r>
      <w:r>
        <w:rPr>
          <w:rFonts w:ascii="Calibri" w:hAnsi="Calibri"/>
          <w:b w:val="0"/>
          <w:i w:val="0"/>
          <w:sz w:val="22"/>
        </w:rPr>
        <w:t>No se accedió a los datos source detrás de cada indicador; las fuentes inferidas son las habituales en Argentina (INDEC, BCRA, MECON, consultoras de opinión pública, CEPA, Diagnóstico Político).</w:t>
      </w:r>
    </w:p>
    <w:p>
      <w:pPr>
        <w:spacing w:after="60"/>
        <w:ind w:left="454" w:hanging="283"/>
      </w:pPr>
      <w:r>
        <w:rPr>
          <w:rFonts w:ascii="Calibri" w:hAnsi="Calibri"/>
          <w:b w:val="0"/>
          <w:color w:val="1E5F9E"/>
          <w:sz w:val="22"/>
        </w:rPr>
        <w:t xml:space="preserve">•  </w:t>
      </w:r>
      <w:r>
        <w:rPr>
          <w:rFonts w:ascii="Calibri" w:hAnsi="Calibri"/>
          <w:b w:val="0"/>
          <w:i w:val="0"/>
          <w:sz w:val="22"/>
        </w:rPr>
        <w:t xml:space="preserve">El análisis se hace en un momento concreto (mayo 2026) y los valores capturados pueden haber cambiado; lo que se analiza es la </w:t>
      </w:r>
      <w:r>
        <w:rPr>
          <w:rFonts w:ascii="Calibri" w:hAnsi="Calibri"/>
          <w:b/>
          <w:i w:val="0"/>
          <w:sz w:val="22"/>
        </w:rPr>
        <w:t>arquitectura del dashboard</w:t>
      </w:r>
      <w:r>
        <w:rPr>
          <w:rFonts w:ascii="Calibri" w:hAnsi="Calibri"/>
          <w:b w:val="0"/>
          <w:i w:val="0"/>
          <w:sz w:val="22"/>
        </w:rPr>
        <w:t>, no su cifra del día.</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