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Bdr>
          <w:bottom w:val="single" w:sz="12" w:space="4" w:color="1E5F9E"/>
        </w:pBdr>
      </w:pPr>
      <w:r>
        <w:rPr>
          <w:rFonts w:ascii="Calibri" w:hAnsi="Calibri"/>
          <w:b/>
          <w:color w:val="1A233A"/>
          <w:sz w:val="40"/>
        </w:rPr>
        <w:t>Pestaña Macroeconomía — análisis matusiano del Cinturón Económico</w:t>
      </w:r>
    </w:p>
    <w:p>
      <w:pPr>
        <w:spacing w:after="40" w:before="40"/>
        <w:ind w:left="680"/>
      </w:pPr>
      <w:r>
        <w:rPr>
          <w:rFonts w:ascii="Calibri" w:hAnsi="Calibri"/>
          <w:b w:val="0"/>
          <w:i/>
          <w:color w:val="606060"/>
          <w:sz w:val="21"/>
        </w:rPr>
        <w:t xml:space="preserve">Análisis del Cinturón Económico del dashboard </w:t>
      </w:r>
      <w:r>
        <w:rPr>
          <w:rFonts w:ascii="Courier New" w:hAnsi="Courier New"/>
          <w:b w:val="0"/>
          <w:color w:val="606060"/>
          <w:sz w:val="19"/>
        </w:rPr>
        <w:t>https://cigob.k1t.eu/index.html</w:t>
      </w:r>
      <w:r>
        <w:rPr>
          <w:rFonts w:ascii="Calibri" w:hAnsi="Calibri"/>
          <w:b w:val="0"/>
          <w:i/>
          <w:color w:val="606060"/>
          <w:sz w:val="21"/>
        </w:rPr>
        <w:t xml:space="preserve"> desde la planificación estratégica situacional (PES). Marco de referencia: </w:t>
      </w:r>
      <w:r>
        <w:rPr>
          <w:rFonts w:ascii="Courier New" w:hAnsi="Courier New"/>
          <w:b w:val="0"/>
          <w:color w:val="606060"/>
          <w:sz w:val="19"/>
        </w:rPr>
        <w:t>_brief_matus.md</w:t>
      </w:r>
      <w:r>
        <w:rPr>
          <w:rFonts w:ascii="Calibri" w:hAnsi="Calibri"/>
          <w:b w:val="0"/>
          <w:i/>
          <w:color w:val="606060"/>
          <w:sz w:val="21"/>
        </w:rPr>
        <w:t xml:space="preserve"> (Matus 1997, </w:t>
      </w:r>
      <w:r>
        <w:rPr>
          <w:rFonts w:ascii="Calibri" w:hAnsi="Calibri"/>
          <w:b w:val="0"/>
          <w:i/>
          <w:color w:val="606060"/>
          <w:sz w:val="21"/>
        </w:rPr>
        <w:t>Los Tres Cinturones del Gobierno</w:t>
      </w:r>
      <w:r>
        <w:rPr>
          <w:rFonts w:ascii="Calibri" w:hAnsi="Calibri"/>
          <w:b w:val="0"/>
          <w:i/>
          <w:color w:val="606060"/>
          <w:sz w:val="21"/>
        </w:rPr>
        <w:t>; Matus tardío, Teoría del Juego Social).</w:t>
      </w:r>
    </w:p>
    <w:p>
      <w:pPr>
        <w:spacing w:after="120"/>
      </w:pPr>
      <w:r>
        <w:rPr>
          <w:rFonts w:ascii="Calibri" w:hAnsi="Calibri"/>
          <w:b w:val="0"/>
          <w:i w:val="0"/>
          <w:sz w:val="22"/>
        </w:rPr>
        <w:t xml:space="preserve">Score declarado por el dashboard: </w:t>
      </w:r>
      <w:r>
        <w:rPr>
          <w:rFonts w:ascii="Calibri" w:hAnsi="Calibri"/>
          <w:b/>
          <w:i w:val="0"/>
          <w:sz w:val="22"/>
        </w:rPr>
        <w:t>+57 → cinturón holgado</w:t>
      </w:r>
      <w:r>
        <w:rPr>
          <w:rFonts w:ascii="Calibri" w:hAnsi="Calibri"/>
          <w:b w:val="0"/>
          <w:i w:val="0"/>
          <w:sz w:val="22"/>
        </w:rPr>
        <w:t>. La tesis de este archivo es que ese número es engañoso: la pestaña mide bien la dimensión financiera de corto plazo del cinturón económico, pero subindexa la dimensión real (actividad, empleo, deuda, expectativas), y por eso queda expuesta al barbarismo tecnocrático que el propio Matus diagnostica como la patología más frecuente del análisis macro.</w:t>
      </w:r>
    </w:p>
    <w:p>
      <w:pPr>
        <w:pBdr>
          <w:bottom w:val="single" w:sz="6" w:space="4" w:color="3A8FC9"/>
        </w:pBdr>
        <w:spacing w:before="120" w:after="120"/>
      </w:pPr>
    </w:p>
    <w:p>
      <w:pPr>
        <w:spacing w:before="200" w:after="120"/>
      </w:pPr>
      <w:r>
        <w:rPr>
          <w:rFonts w:ascii="Calibri" w:hAnsi="Calibri"/>
          <w:b/>
          <w:color w:val="1E5F9E"/>
          <w:sz w:val="30"/>
        </w:rPr>
        <w:t>A. Indicadores presentes</w:t>
      </w:r>
    </w:p>
    <w:tbl>
      <w:tblPr>
        <w:tblStyle w:val="TableGrid"/>
        <w:tblW w:type="auto" w:w="0"/>
        <w:jc w:val="left"/>
        <w:tblLook w:firstColumn="1" w:firstRow="1" w:lastColumn="0" w:lastRow="0" w:noHBand="0" w:noVBand="1" w:val="04A0"/>
      </w:tblPr>
      <w:tblGrid>
        <w:gridCol w:w="1746"/>
        <w:gridCol w:w="1746"/>
        <w:gridCol w:w="1746"/>
        <w:gridCol w:w="1746"/>
        <w:gridCol w:w="1746"/>
      </w:tblGrid>
      <w:tr>
        <w:tc>
          <w:tcPr>
            <w:tcW w:type="dxa" w:w="1746"/>
            <w:vAlign w:val="center"/>
            <w:shd w:val="clear" w:color="auto" w:fill="1E5F9E"/>
          </w:tcPr>
          <w:p>
            <w:pPr>
              <w:spacing w:before="80" w:after="80"/>
            </w:pPr>
            <w:r>
              <w:rPr>
                <w:rFonts w:ascii="Calibri" w:hAnsi="Calibri"/>
                <w:b/>
                <w:color w:val="FFFFFF"/>
                <w:sz w:val="20"/>
              </w:rPr>
              <w:t>Indicador</w:t>
            </w:r>
          </w:p>
        </w:tc>
        <w:tc>
          <w:tcPr>
            <w:tcW w:type="dxa" w:w="1746"/>
            <w:vAlign w:val="center"/>
            <w:shd w:val="clear" w:color="auto" w:fill="1E5F9E"/>
          </w:tcPr>
          <w:p>
            <w:pPr>
              <w:spacing w:before="80" w:after="80"/>
            </w:pPr>
            <w:r>
              <w:rPr>
                <w:rFonts w:ascii="Calibri" w:hAnsi="Calibri"/>
                <w:b/>
                <w:color w:val="FFFFFF"/>
                <w:sz w:val="20"/>
              </w:rPr>
              <w:t>Valor (mar–may 2026)</w:t>
            </w:r>
          </w:p>
        </w:tc>
        <w:tc>
          <w:tcPr>
            <w:tcW w:type="dxa" w:w="1746"/>
            <w:vAlign w:val="center"/>
            <w:shd w:val="clear" w:color="auto" w:fill="1E5F9E"/>
          </w:tcPr>
          <w:p>
            <w:pPr>
              <w:spacing w:before="80" w:after="80"/>
            </w:pPr>
            <w:r>
              <w:rPr>
                <w:rFonts w:ascii="Calibri" w:hAnsi="Calibri"/>
                <w:b/>
                <w:color w:val="FFFFFF"/>
                <w:sz w:val="20"/>
              </w:rPr>
              <w:t>Fuente probable</w:t>
            </w:r>
          </w:p>
        </w:tc>
        <w:tc>
          <w:tcPr>
            <w:tcW w:type="dxa" w:w="1746"/>
            <w:vAlign w:val="center"/>
            <w:shd w:val="clear" w:color="auto" w:fill="1E5F9E"/>
          </w:tcPr>
          <w:p>
            <w:pPr>
              <w:spacing w:before="80" w:after="80"/>
            </w:pPr>
            <w:r>
              <w:rPr>
                <w:rFonts w:ascii="Calibri" w:hAnsi="Calibri"/>
                <w:b/>
                <w:color w:val="FFFFFF"/>
                <w:sz w:val="20"/>
              </w:rPr>
              <w:t>Naturaleza</w:t>
            </w:r>
          </w:p>
        </w:tc>
        <w:tc>
          <w:tcPr>
            <w:tcW w:type="dxa" w:w="1746"/>
            <w:vAlign w:val="center"/>
            <w:shd w:val="clear" w:color="auto" w:fill="1E5F9E"/>
          </w:tcPr>
          <w:p>
            <w:pPr>
              <w:spacing w:before="80" w:after="80"/>
            </w:pPr>
            <w:r>
              <w:rPr>
                <w:rFonts w:ascii="Calibri" w:hAnsi="Calibri"/>
                <w:b/>
                <w:color w:val="FFFFFF"/>
                <w:sz w:val="20"/>
              </w:rPr>
              <w:t>Fidelidad matusiana</w:t>
            </w:r>
          </w:p>
        </w:tc>
      </w:tr>
      <w:tr>
        <w:tc>
          <w:tcPr>
            <w:tcW w:type="dxa" w:w="1746"/>
            <w:vAlign w:val="center"/>
          </w:tcPr>
          <w:p>
            <w:pPr>
              <w:spacing w:before="60" w:after="60"/>
            </w:pPr>
            <w:r>
              <w:rPr>
                <w:rFonts w:ascii="Calibri" w:hAnsi="Calibri"/>
                <w:color w:val="1A233A"/>
                <w:sz w:val="19"/>
              </w:rPr>
              <w:t>Resultado fiscal primario</w:t>
            </w:r>
          </w:p>
        </w:tc>
        <w:tc>
          <w:tcPr>
            <w:tcW w:type="dxa" w:w="1746"/>
            <w:vAlign w:val="center"/>
          </w:tcPr>
          <w:p>
            <w:pPr>
              <w:spacing w:before="60" w:after="60"/>
            </w:pPr>
            <w:r>
              <w:rPr>
                <w:rFonts w:ascii="Calibri" w:hAnsi="Calibri"/>
                <w:color w:val="1A233A"/>
                <w:sz w:val="19"/>
              </w:rPr>
              <w:t>+297 B$ mes (positivo)</w:t>
            </w:r>
          </w:p>
        </w:tc>
        <w:tc>
          <w:tcPr>
            <w:tcW w:type="dxa" w:w="1746"/>
            <w:vAlign w:val="center"/>
          </w:tcPr>
          <w:p>
            <w:pPr>
              <w:spacing w:before="60" w:after="60"/>
            </w:pPr>
            <w:r>
              <w:rPr>
                <w:rFonts w:ascii="Calibri" w:hAnsi="Calibri"/>
                <w:color w:val="1A233A"/>
                <w:sz w:val="19"/>
              </w:rPr>
              <w:t>MECON / Tesoro — Informe Mensual Ingresos y Gastos</w:t>
            </w:r>
          </w:p>
        </w:tc>
        <w:tc>
          <w:tcPr>
            <w:tcW w:type="dxa" w:w="1746"/>
            <w:vAlign w:val="center"/>
          </w:tcPr>
          <w:p>
            <w:pPr>
              <w:spacing w:before="60" w:after="60"/>
            </w:pPr>
            <w:r>
              <w:rPr>
                <w:rFonts w:ascii="Calibri" w:hAnsi="Calibri"/>
                <w:color w:val="1A233A"/>
                <w:sz w:val="19"/>
              </w:rPr>
              <w:t>Flujo fiscal</w:t>
            </w:r>
          </w:p>
        </w:tc>
        <w:tc>
          <w:tcPr>
            <w:tcW w:type="dxa" w:w="1746"/>
            <w:vAlign w:val="center"/>
          </w:tcPr>
          <w:p>
            <w:pPr>
              <w:spacing w:before="60" w:after="60"/>
            </w:pPr>
            <w:r>
              <w:rPr>
                <w:rFonts w:ascii="Calibri" w:hAnsi="Calibri"/>
                <w:color w:val="1A233A"/>
                <w:sz w:val="19"/>
              </w:rPr>
              <w:t>Alta. Núcleo del equilibrio macro de Matus.</w:t>
            </w:r>
          </w:p>
        </w:tc>
      </w:tr>
      <w:tr>
        <w:tc>
          <w:tcPr>
            <w:tcW w:type="dxa" w:w="1746"/>
            <w:vAlign w:val="center"/>
            <w:shd w:val="clear" w:color="auto" w:fill="EBF4FD"/>
          </w:tcPr>
          <w:p>
            <w:pPr>
              <w:spacing w:before="60" w:after="60"/>
            </w:pPr>
            <w:r>
              <w:rPr>
                <w:rFonts w:ascii="Calibri" w:hAnsi="Calibri"/>
                <w:color w:val="1A233A"/>
                <w:sz w:val="19"/>
              </w:rPr>
              <w:t>Brecha cambiaria oficial vs paralelo</w:t>
            </w:r>
          </w:p>
        </w:tc>
        <w:tc>
          <w:tcPr>
            <w:tcW w:type="dxa" w:w="1746"/>
            <w:vAlign w:val="center"/>
            <w:shd w:val="clear" w:color="auto" w:fill="EBF4FD"/>
          </w:tcPr>
          <w:p>
            <w:pPr>
              <w:spacing w:before="60" w:after="60"/>
            </w:pPr>
            <w:r>
              <w:rPr>
                <w:rFonts w:ascii="Calibri" w:hAnsi="Calibri"/>
                <w:color w:val="1A233A"/>
                <w:sz w:val="19"/>
              </w:rPr>
              <w:t>5,6% (baja)</w:t>
            </w:r>
          </w:p>
        </w:tc>
        <w:tc>
          <w:tcPr>
            <w:tcW w:type="dxa" w:w="1746"/>
            <w:vAlign w:val="center"/>
            <w:shd w:val="clear" w:color="auto" w:fill="EBF4FD"/>
          </w:tcPr>
          <w:p>
            <w:pPr>
              <w:spacing w:before="60" w:after="60"/>
            </w:pPr>
            <w:r>
              <w:rPr>
                <w:rFonts w:ascii="Calibri" w:hAnsi="Calibri"/>
                <w:color w:val="1A233A"/>
                <w:sz w:val="19"/>
              </w:rPr>
              <w:t>BCRA + cotización informal</w:t>
            </w:r>
          </w:p>
        </w:tc>
        <w:tc>
          <w:tcPr>
            <w:tcW w:type="dxa" w:w="1746"/>
            <w:vAlign w:val="center"/>
            <w:shd w:val="clear" w:color="auto" w:fill="EBF4FD"/>
          </w:tcPr>
          <w:p>
            <w:pPr>
              <w:spacing w:before="60" w:after="60"/>
            </w:pPr>
            <w:r>
              <w:rPr>
                <w:rFonts w:ascii="Calibri" w:hAnsi="Calibri"/>
                <w:color w:val="1A233A"/>
                <w:sz w:val="19"/>
              </w:rPr>
              <w:t>Precio / señal de expectativas</w:t>
            </w:r>
          </w:p>
        </w:tc>
        <w:tc>
          <w:tcPr>
            <w:tcW w:type="dxa" w:w="1746"/>
            <w:vAlign w:val="center"/>
            <w:shd w:val="clear" w:color="auto" w:fill="EBF4FD"/>
          </w:tcPr>
          <w:p>
            <w:pPr>
              <w:spacing w:before="60" w:after="60"/>
            </w:pPr>
            <w:r>
              <w:rPr>
                <w:rFonts w:ascii="Calibri" w:hAnsi="Calibri"/>
                <w:color w:val="1A233A"/>
                <w:sz w:val="19"/>
              </w:rPr>
              <w:t>Media. Mide más expectativa que economía real.</w:t>
            </w:r>
          </w:p>
        </w:tc>
      </w:tr>
      <w:tr>
        <w:tc>
          <w:tcPr>
            <w:tcW w:type="dxa" w:w="1746"/>
            <w:vAlign w:val="center"/>
          </w:tcPr>
          <w:p>
            <w:pPr>
              <w:spacing w:before="60" w:after="60"/>
            </w:pPr>
            <w:r>
              <w:rPr>
                <w:rFonts w:ascii="Calibri" w:hAnsi="Calibri"/>
                <w:color w:val="1A233A"/>
                <w:sz w:val="19"/>
              </w:rPr>
              <w:t>ITCRM (tipo de cambio real multilateral)</w:t>
            </w:r>
          </w:p>
        </w:tc>
        <w:tc>
          <w:tcPr>
            <w:tcW w:type="dxa" w:w="1746"/>
            <w:vAlign w:val="center"/>
          </w:tcPr>
          <w:p>
            <w:pPr>
              <w:spacing w:before="60" w:after="60"/>
            </w:pPr>
            <w:r>
              <w:rPr>
                <w:rFonts w:ascii="Calibri" w:hAnsi="Calibri"/>
                <w:color w:val="1A233A"/>
                <w:sz w:val="19"/>
              </w:rPr>
              <w:t>94,5 (apreciado)</w:t>
            </w:r>
          </w:p>
        </w:tc>
        <w:tc>
          <w:tcPr>
            <w:tcW w:type="dxa" w:w="1746"/>
            <w:vAlign w:val="center"/>
          </w:tcPr>
          <w:p>
            <w:pPr>
              <w:spacing w:before="60" w:after="60"/>
            </w:pPr>
            <w:r>
              <w:rPr>
                <w:rFonts w:ascii="Calibri" w:hAnsi="Calibri"/>
                <w:color w:val="1A233A"/>
                <w:sz w:val="19"/>
              </w:rPr>
              <w:t>BCRA — Serie ITCRM base 2010=100</w:t>
            </w:r>
          </w:p>
        </w:tc>
        <w:tc>
          <w:tcPr>
            <w:tcW w:type="dxa" w:w="1746"/>
            <w:vAlign w:val="center"/>
          </w:tcPr>
          <w:p>
            <w:pPr>
              <w:spacing w:before="60" w:after="60"/>
            </w:pPr>
            <w:r>
              <w:rPr>
                <w:rFonts w:ascii="Calibri" w:hAnsi="Calibri"/>
                <w:color w:val="1A233A"/>
                <w:sz w:val="19"/>
              </w:rPr>
              <w:t>Precio relativo (stock comercial)</w:t>
            </w:r>
          </w:p>
        </w:tc>
        <w:tc>
          <w:tcPr>
            <w:tcW w:type="dxa" w:w="1746"/>
            <w:vAlign w:val="center"/>
          </w:tcPr>
          <w:p>
            <w:pPr>
              <w:spacing w:before="60" w:after="60"/>
            </w:pPr>
            <w:r>
              <w:rPr>
                <w:rFonts w:ascii="Calibri" w:hAnsi="Calibri"/>
                <w:color w:val="1A233A"/>
                <w:sz w:val="19"/>
              </w:rPr>
              <w:t>Alta. Captura competitividad estructural.</w:t>
            </w:r>
          </w:p>
        </w:tc>
      </w:tr>
      <w:tr>
        <w:tc>
          <w:tcPr>
            <w:tcW w:type="dxa" w:w="1746"/>
            <w:vAlign w:val="center"/>
            <w:shd w:val="clear" w:color="auto" w:fill="EBF4FD"/>
          </w:tcPr>
          <w:p>
            <w:pPr>
              <w:spacing w:before="60" w:after="60"/>
            </w:pPr>
            <w:r>
              <w:rPr>
                <w:rFonts w:ascii="Calibri" w:hAnsi="Calibri"/>
                <w:color w:val="1A233A"/>
                <w:sz w:val="19"/>
              </w:rPr>
              <w:t>Saldo comercial</w:t>
            </w:r>
          </w:p>
        </w:tc>
        <w:tc>
          <w:tcPr>
            <w:tcW w:type="dxa" w:w="1746"/>
            <w:vAlign w:val="center"/>
            <w:shd w:val="clear" w:color="auto" w:fill="EBF4FD"/>
          </w:tcPr>
          <w:p>
            <w:pPr>
              <w:spacing w:before="60" w:after="60"/>
            </w:pPr>
            <w:r>
              <w:rPr>
                <w:rFonts w:ascii="Calibri" w:hAnsi="Calibri"/>
                <w:color w:val="1A233A"/>
                <w:sz w:val="19"/>
              </w:rPr>
              <w:t>USD +788 M (superávit mes)</w:t>
            </w:r>
          </w:p>
        </w:tc>
        <w:tc>
          <w:tcPr>
            <w:tcW w:type="dxa" w:w="1746"/>
            <w:vAlign w:val="center"/>
            <w:shd w:val="clear" w:color="auto" w:fill="EBF4FD"/>
          </w:tcPr>
          <w:p>
            <w:pPr>
              <w:spacing w:before="60" w:after="60"/>
            </w:pPr>
            <w:r>
              <w:rPr>
                <w:rFonts w:ascii="Calibri" w:hAnsi="Calibri"/>
                <w:color w:val="1A233A"/>
                <w:sz w:val="19"/>
              </w:rPr>
              <w:t>INDEC — Intercambio Comercial Argentino (ICA)</w:t>
            </w:r>
          </w:p>
        </w:tc>
        <w:tc>
          <w:tcPr>
            <w:tcW w:type="dxa" w:w="1746"/>
            <w:vAlign w:val="center"/>
            <w:shd w:val="clear" w:color="auto" w:fill="EBF4FD"/>
          </w:tcPr>
          <w:p>
            <w:pPr>
              <w:spacing w:before="60" w:after="60"/>
            </w:pPr>
            <w:r>
              <w:rPr>
                <w:rFonts w:ascii="Calibri" w:hAnsi="Calibri"/>
                <w:color w:val="1A233A"/>
                <w:sz w:val="19"/>
              </w:rPr>
              <w:t>Flujo externo</w:t>
            </w:r>
          </w:p>
        </w:tc>
        <w:tc>
          <w:tcPr>
            <w:tcW w:type="dxa" w:w="1746"/>
            <w:vAlign w:val="center"/>
            <w:shd w:val="clear" w:color="auto" w:fill="EBF4FD"/>
          </w:tcPr>
          <w:p>
            <w:pPr>
              <w:spacing w:before="60" w:after="60"/>
            </w:pPr>
            <w:r>
              <w:rPr>
                <w:rFonts w:ascii="Calibri" w:hAnsi="Calibri"/>
                <w:color w:val="1A233A"/>
                <w:sz w:val="19"/>
              </w:rPr>
              <w:t>Alta. Equilibrio externo, vértice clásico de Matus.</w:t>
            </w:r>
          </w:p>
        </w:tc>
      </w:tr>
      <w:tr>
        <w:tc>
          <w:tcPr>
            <w:tcW w:type="dxa" w:w="1746"/>
            <w:vAlign w:val="center"/>
          </w:tcPr>
          <w:p>
            <w:pPr>
              <w:spacing w:before="60" w:after="60"/>
            </w:pPr>
            <w:r>
              <w:rPr>
                <w:rFonts w:ascii="Calibri" w:hAnsi="Calibri"/>
                <w:color w:val="1A233A"/>
                <w:sz w:val="19"/>
              </w:rPr>
              <w:t>EMBI+ Argentina</w:t>
            </w:r>
          </w:p>
        </w:tc>
        <w:tc>
          <w:tcPr>
            <w:tcW w:type="dxa" w:w="1746"/>
            <w:vAlign w:val="center"/>
          </w:tcPr>
          <w:p>
            <w:pPr>
              <w:spacing w:before="60" w:after="60"/>
            </w:pPr>
            <w:r>
              <w:rPr>
                <w:rFonts w:ascii="Calibri" w:hAnsi="Calibri"/>
                <w:color w:val="1A233A"/>
                <w:sz w:val="19"/>
              </w:rPr>
              <w:t>539 pb</w:t>
            </w:r>
          </w:p>
        </w:tc>
        <w:tc>
          <w:tcPr>
            <w:tcW w:type="dxa" w:w="1746"/>
            <w:vAlign w:val="center"/>
          </w:tcPr>
          <w:p>
            <w:pPr>
              <w:spacing w:before="60" w:after="60"/>
            </w:pPr>
            <w:r>
              <w:rPr>
                <w:rFonts w:ascii="Calibri" w:hAnsi="Calibri"/>
                <w:color w:val="1A233A"/>
                <w:sz w:val="19"/>
              </w:rPr>
              <w:t>JP Morgan / Rava / Ámbito</w:t>
            </w:r>
          </w:p>
        </w:tc>
        <w:tc>
          <w:tcPr>
            <w:tcW w:type="dxa" w:w="1746"/>
            <w:vAlign w:val="center"/>
          </w:tcPr>
          <w:p>
            <w:pPr>
              <w:spacing w:before="60" w:after="60"/>
            </w:pPr>
            <w:r>
              <w:rPr>
                <w:rFonts w:ascii="Calibri" w:hAnsi="Calibri"/>
                <w:color w:val="1A233A"/>
                <w:sz w:val="19"/>
              </w:rPr>
              <w:t>Precio financiero</w:t>
            </w:r>
          </w:p>
        </w:tc>
        <w:tc>
          <w:tcPr>
            <w:tcW w:type="dxa" w:w="1746"/>
            <w:vAlign w:val="center"/>
          </w:tcPr>
          <w:p>
            <w:pPr>
              <w:spacing w:before="60" w:after="60"/>
            </w:pPr>
            <w:r>
              <w:rPr>
                <w:rFonts w:ascii="Calibri" w:hAnsi="Calibri"/>
                <w:color w:val="1A233A"/>
                <w:sz w:val="19"/>
              </w:rPr>
              <w:t>Media. Mide percepción de acreedores externos.</w:t>
            </w:r>
          </w:p>
        </w:tc>
      </w:tr>
      <w:tr>
        <w:tc>
          <w:tcPr>
            <w:tcW w:type="dxa" w:w="1746"/>
            <w:vAlign w:val="center"/>
            <w:shd w:val="clear" w:color="auto" w:fill="EBF4FD"/>
          </w:tcPr>
          <w:p>
            <w:pPr>
              <w:spacing w:before="60" w:after="60"/>
            </w:pPr>
            <w:r>
              <w:rPr>
                <w:rFonts w:ascii="Calibri" w:hAnsi="Calibri"/>
                <w:color w:val="1A233A"/>
                <w:sz w:val="19"/>
              </w:rPr>
              <w:t>IPC</w:t>
            </w:r>
          </w:p>
        </w:tc>
        <w:tc>
          <w:tcPr>
            <w:tcW w:type="dxa" w:w="1746"/>
            <w:vAlign w:val="center"/>
            <w:shd w:val="clear" w:color="auto" w:fill="EBF4FD"/>
          </w:tcPr>
          <w:p>
            <w:pPr>
              <w:spacing w:before="60" w:after="60"/>
            </w:pPr>
            <w:r>
              <w:rPr>
                <w:rFonts w:ascii="Calibri" w:hAnsi="Calibri"/>
                <w:color w:val="1A233A"/>
                <w:sz w:val="19"/>
              </w:rPr>
              <w:t>3,4% mes / 32,6% i.a.</w:t>
            </w:r>
          </w:p>
        </w:tc>
        <w:tc>
          <w:tcPr>
            <w:tcW w:type="dxa" w:w="1746"/>
            <w:vAlign w:val="center"/>
            <w:shd w:val="clear" w:color="auto" w:fill="EBF4FD"/>
          </w:tcPr>
          <w:p>
            <w:pPr>
              <w:spacing w:before="60" w:after="60"/>
            </w:pPr>
            <w:r>
              <w:rPr>
                <w:rFonts w:ascii="Calibri" w:hAnsi="Calibri"/>
                <w:color w:val="1A233A"/>
                <w:sz w:val="19"/>
              </w:rPr>
              <w:t>INDEC — IPC Nacional</w:t>
            </w:r>
          </w:p>
        </w:tc>
        <w:tc>
          <w:tcPr>
            <w:tcW w:type="dxa" w:w="1746"/>
            <w:vAlign w:val="center"/>
            <w:shd w:val="clear" w:color="auto" w:fill="EBF4FD"/>
          </w:tcPr>
          <w:p>
            <w:pPr>
              <w:spacing w:before="60" w:after="60"/>
            </w:pPr>
            <w:r>
              <w:rPr>
                <w:rFonts w:ascii="Calibri" w:hAnsi="Calibri"/>
                <w:color w:val="1A233A"/>
                <w:sz w:val="19"/>
              </w:rPr>
              <w:t>Precio</w:t>
            </w:r>
          </w:p>
        </w:tc>
        <w:tc>
          <w:tcPr>
            <w:tcW w:type="dxa" w:w="1746"/>
            <w:vAlign w:val="center"/>
            <w:shd w:val="clear" w:color="auto" w:fill="EBF4FD"/>
          </w:tcPr>
          <w:p>
            <w:pPr>
              <w:spacing w:before="60" w:after="60"/>
            </w:pPr>
            <w:r>
              <w:rPr>
                <w:rFonts w:ascii="Calibri" w:hAnsi="Calibri"/>
                <w:color w:val="1A233A"/>
                <w:sz w:val="19"/>
              </w:rPr>
              <w:t>Alta. Variable nominal central.</w:t>
            </w:r>
          </w:p>
        </w:tc>
      </w:tr>
      <w:tr>
        <w:tc>
          <w:tcPr>
            <w:tcW w:type="dxa" w:w="1746"/>
            <w:vAlign w:val="center"/>
          </w:tcPr>
          <w:p>
            <w:pPr>
              <w:spacing w:before="60" w:after="60"/>
            </w:pPr>
            <w:r>
              <w:rPr>
                <w:rFonts w:ascii="Calibri" w:hAnsi="Calibri"/>
                <w:color w:val="1A233A"/>
                <w:sz w:val="19"/>
              </w:rPr>
              <w:t>Reservas BCRA</w:t>
            </w:r>
          </w:p>
        </w:tc>
        <w:tc>
          <w:tcPr>
            <w:tcW w:type="dxa" w:w="1746"/>
            <w:vAlign w:val="center"/>
          </w:tcPr>
          <w:p>
            <w:pPr>
              <w:spacing w:before="60" w:after="60"/>
            </w:pPr>
            <w:r>
              <w:rPr>
                <w:rFonts w:ascii="Calibri" w:hAnsi="Calibri"/>
                <w:color w:val="1A233A"/>
                <w:sz w:val="19"/>
              </w:rPr>
              <w:t>USD 41,1 mM</w:t>
            </w:r>
          </w:p>
        </w:tc>
        <w:tc>
          <w:tcPr>
            <w:tcW w:type="dxa" w:w="1746"/>
            <w:vAlign w:val="center"/>
          </w:tcPr>
          <w:p>
            <w:pPr>
              <w:spacing w:before="60" w:after="60"/>
            </w:pPr>
            <w:r>
              <w:rPr>
                <w:rFonts w:ascii="Calibri" w:hAnsi="Calibri"/>
                <w:color w:val="1A233A"/>
                <w:sz w:val="19"/>
              </w:rPr>
              <w:t>BCRA — Reservas Internacionales brutas</w:t>
            </w:r>
          </w:p>
        </w:tc>
        <w:tc>
          <w:tcPr>
            <w:tcW w:type="dxa" w:w="1746"/>
            <w:vAlign w:val="center"/>
          </w:tcPr>
          <w:p>
            <w:pPr>
              <w:spacing w:before="60" w:after="60"/>
            </w:pPr>
            <w:r>
              <w:rPr>
                <w:rFonts w:ascii="Calibri" w:hAnsi="Calibri"/>
                <w:color w:val="1A233A"/>
                <w:sz w:val="19"/>
              </w:rPr>
              <w:t>Stock externo</w:t>
            </w:r>
          </w:p>
        </w:tc>
        <w:tc>
          <w:tcPr>
            <w:tcW w:type="dxa" w:w="1746"/>
            <w:vAlign w:val="center"/>
          </w:tcPr>
          <w:p>
            <w:pPr>
              <w:spacing w:before="60" w:after="60"/>
            </w:pPr>
            <w:r>
              <w:rPr>
                <w:rFonts w:ascii="Calibri" w:hAnsi="Calibri"/>
                <w:color w:val="1A233A"/>
                <w:sz w:val="19"/>
              </w:rPr>
              <w:t>Alta. Stock disponible para shocks.</w:t>
            </w:r>
          </w:p>
        </w:tc>
      </w:tr>
    </w:tbl>
    <w:p/>
    <w:p>
      <w:pPr>
        <w:spacing w:after="120"/>
      </w:pPr>
      <w:r>
        <w:rPr>
          <w:rFonts w:ascii="Calibri" w:hAnsi="Calibri"/>
          <w:b w:val="0"/>
          <w:i w:val="0"/>
          <w:sz w:val="22"/>
        </w:rPr>
        <w:t xml:space="preserve">Observación 1: la mezcla </w:t>
      </w:r>
      <w:r>
        <w:rPr>
          <w:rFonts w:ascii="Calibri" w:hAnsi="Calibri"/>
          <w:b/>
          <w:i w:val="0"/>
          <w:sz w:val="22"/>
        </w:rPr>
        <w:t>stocks / flujos / precios</w:t>
      </w:r>
      <w:r>
        <w:rPr>
          <w:rFonts w:ascii="Calibri" w:hAnsi="Calibri"/>
          <w:b w:val="0"/>
          <w:i w:val="0"/>
          <w:sz w:val="22"/>
        </w:rPr>
        <w:t xml:space="preserve"> está sesgada hacia precios y stocks financieros. De los 7 indicadores, </w:t>
      </w:r>
      <w:r>
        <w:rPr>
          <w:rFonts w:ascii="Calibri" w:hAnsi="Calibri"/>
          <w:b/>
          <w:i w:val="0"/>
          <w:sz w:val="22"/>
        </w:rPr>
        <w:t>3 son precios</w:t>
      </w:r>
      <w:r>
        <w:rPr>
          <w:rFonts w:ascii="Calibri" w:hAnsi="Calibri"/>
          <w:b w:val="0"/>
          <w:i w:val="0"/>
          <w:sz w:val="22"/>
        </w:rPr>
        <w:t xml:space="preserve"> (brecha, ITCRM, IPC), </w:t>
      </w:r>
      <w:r>
        <w:rPr>
          <w:rFonts w:ascii="Calibri" w:hAnsi="Calibri"/>
          <w:b/>
          <w:i w:val="0"/>
          <w:sz w:val="22"/>
        </w:rPr>
        <w:t>2 son stocks financieros</w:t>
      </w:r>
      <w:r>
        <w:rPr>
          <w:rFonts w:ascii="Calibri" w:hAnsi="Calibri"/>
          <w:b w:val="0"/>
          <w:i w:val="0"/>
          <w:sz w:val="22"/>
        </w:rPr>
        <w:t xml:space="preserve"> (reservas, EMBI), </w:t>
      </w:r>
      <w:r>
        <w:rPr>
          <w:rFonts w:ascii="Calibri" w:hAnsi="Calibri"/>
          <w:b/>
          <w:i w:val="0"/>
          <w:sz w:val="22"/>
        </w:rPr>
        <w:t>2 son flujos</w:t>
      </w:r>
      <w:r>
        <w:rPr>
          <w:rFonts w:ascii="Calibri" w:hAnsi="Calibri"/>
          <w:b w:val="0"/>
          <w:i w:val="0"/>
          <w:sz w:val="22"/>
        </w:rPr>
        <w:t xml:space="preserve"> (fiscal y comercial). No hay ningún indicador de </w:t>
      </w:r>
      <w:r>
        <w:rPr>
          <w:rFonts w:ascii="Calibri" w:hAnsi="Calibri"/>
          <w:b/>
          <w:i w:val="0"/>
          <w:sz w:val="22"/>
        </w:rPr>
        <w:t>stock de deuda</w:t>
      </w:r>
      <w:r>
        <w:rPr>
          <w:rFonts w:ascii="Calibri" w:hAnsi="Calibri"/>
          <w:b w:val="0"/>
          <w:i w:val="0"/>
          <w:sz w:val="22"/>
        </w:rPr>
        <w:t xml:space="preserve">, ningún indicador de </w:t>
      </w:r>
      <w:r>
        <w:rPr>
          <w:rFonts w:ascii="Calibri" w:hAnsi="Calibri"/>
          <w:b/>
          <w:i w:val="0"/>
          <w:sz w:val="22"/>
        </w:rPr>
        <w:t>cantidad real producida</w:t>
      </w:r>
      <w:r>
        <w:rPr>
          <w:rFonts w:ascii="Calibri" w:hAnsi="Calibri"/>
          <w:b w:val="0"/>
          <w:i w:val="0"/>
          <w:sz w:val="22"/>
        </w:rPr>
        <w:t xml:space="preserve">, ningún indicador de </w:t>
      </w:r>
      <w:r>
        <w:rPr>
          <w:rFonts w:ascii="Calibri" w:hAnsi="Calibri"/>
          <w:b/>
          <w:i w:val="0"/>
          <w:sz w:val="22"/>
        </w:rPr>
        <w:t>mercado de trabajo</w:t>
      </w:r>
      <w:r>
        <w:rPr>
          <w:rFonts w:ascii="Calibri" w:hAnsi="Calibri"/>
          <w:b w:val="0"/>
          <w:i w:val="0"/>
          <w:sz w:val="22"/>
        </w:rPr>
        <w:t>.</w:t>
      </w:r>
    </w:p>
    <w:p>
      <w:pPr>
        <w:spacing w:after="120"/>
      </w:pPr>
      <w:r>
        <w:rPr>
          <w:rFonts w:ascii="Calibri" w:hAnsi="Calibri"/>
          <w:b w:val="0"/>
          <w:i w:val="0"/>
          <w:sz w:val="22"/>
        </w:rPr>
        <w:t xml:space="preserve">Observación 2: el score +57 surge de "más positivos que negativos". Pero "positivo" se asigna a un superávit fiscal de un mes y a una brecha cambiaria contenida, ignorando que ambos pueden ser síntoma de una contracción brutal de demanda más que de equilibrio sostenible. Matus diría: el indicador no captura la </w:t>
      </w:r>
      <w:r>
        <w:rPr>
          <w:rFonts w:ascii="Calibri" w:hAnsi="Calibri"/>
          <w:b/>
          <w:i w:val="0"/>
          <w:sz w:val="22"/>
        </w:rPr>
        <w:t>velocidad ni la dirección de la trayectoria</w:t>
      </w:r>
      <w:r>
        <w:rPr>
          <w:rFonts w:ascii="Calibri" w:hAnsi="Calibri"/>
          <w:b w:val="0"/>
          <w:i w:val="0"/>
          <w:sz w:val="22"/>
        </w:rPr>
        <w:t xml:space="preserve"> (brief, sección 6).</w:t>
      </w:r>
    </w:p>
    <w:p>
      <w:pPr>
        <w:pBdr>
          <w:bottom w:val="single" w:sz="6" w:space="4" w:color="3A8FC9"/>
        </w:pBdr>
        <w:spacing w:before="120" w:after="120"/>
      </w:pPr>
    </w:p>
    <w:p>
      <w:pPr>
        <w:spacing w:before="200" w:after="120"/>
      </w:pPr>
      <w:r>
        <w:rPr>
          <w:rFonts w:ascii="Calibri" w:hAnsi="Calibri"/>
          <w:b/>
          <w:color w:val="1E5F9E"/>
          <w:sz w:val="30"/>
        </w:rPr>
        <w:t>B. Indicadores faltantes</w:t>
      </w:r>
    </w:p>
    <w:p>
      <w:pPr>
        <w:spacing w:after="120"/>
      </w:pPr>
      <w:r>
        <w:rPr>
          <w:rFonts w:ascii="Calibri" w:hAnsi="Calibri"/>
          <w:b w:val="0"/>
          <w:i w:val="0"/>
          <w:sz w:val="22"/>
        </w:rPr>
        <w:t>Priorizados por relevancia matusiana y costo de incorporación.</w:t>
      </w:r>
    </w:p>
    <w:tbl>
      <w:tblPr>
        <w:tblStyle w:val="TableGrid"/>
        <w:tblW w:type="auto" w:w="0"/>
        <w:jc w:val="left"/>
        <w:tblLook w:firstColumn="1" w:firstRow="1" w:lastColumn="0" w:lastRow="0" w:noHBand="0" w:noVBand="1" w:val="04A0"/>
      </w:tblPr>
      <w:tblGrid>
        <w:gridCol w:w="1455"/>
        <w:gridCol w:w="1455"/>
        <w:gridCol w:w="1455"/>
        <w:gridCol w:w="1455"/>
        <w:gridCol w:w="1455"/>
        <w:gridCol w:w="1455"/>
      </w:tblGrid>
      <w:tr>
        <w:tc>
          <w:tcPr>
            <w:tcW w:type="dxa" w:w="1455"/>
            <w:vAlign w:val="center"/>
            <w:shd w:val="clear" w:color="auto" w:fill="1E5F9E"/>
          </w:tcPr>
          <w:p>
            <w:pPr>
              <w:spacing w:before="80" w:after="80"/>
            </w:pPr>
            <w:r>
              <w:rPr>
                <w:rFonts w:ascii="Calibri" w:hAnsi="Calibri"/>
                <w:b/>
                <w:color w:val="FFFFFF"/>
                <w:sz w:val="20"/>
              </w:rPr>
              <w:t>#</w:t>
            </w:r>
          </w:p>
        </w:tc>
        <w:tc>
          <w:tcPr>
            <w:tcW w:type="dxa" w:w="1455"/>
            <w:vAlign w:val="center"/>
            <w:shd w:val="clear" w:color="auto" w:fill="1E5F9E"/>
          </w:tcPr>
          <w:p>
            <w:pPr>
              <w:spacing w:before="80" w:after="80"/>
            </w:pPr>
            <w:r>
              <w:rPr>
                <w:rFonts w:ascii="Calibri" w:hAnsi="Calibri"/>
                <w:b/>
                <w:color w:val="FFFFFF"/>
                <w:sz w:val="20"/>
              </w:rPr>
              <w:t>Indicador propuesto</w:t>
            </w:r>
          </w:p>
        </w:tc>
        <w:tc>
          <w:tcPr>
            <w:tcW w:type="dxa" w:w="1455"/>
            <w:vAlign w:val="center"/>
            <w:shd w:val="clear" w:color="auto" w:fill="1E5F9E"/>
          </w:tcPr>
          <w:p>
            <w:pPr>
              <w:spacing w:before="80" w:after="80"/>
            </w:pPr>
            <w:r>
              <w:rPr>
                <w:rFonts w:ascii="Calibri" w:hAnsi="Calibri"/>
                <w:b/>
                <w:color w:val="FFFFFF"/>
                <w:sz w:val="20"/>
              </w:rPr>
              <w:t>Por qué importa para Matus</w:t>
            </w:r>
          </w:p>
        </w:tc>
        <w:tc>
          <w:tcPr>
            <w:tcW w:type="dxa" w:w="1455"/>
            <w:vAlign w:val="center"/>
            <w:shd w:val="clear" w:color="auto" w:fill="1E5F9E"/>
          </w:tcPr>
          <w:p>
            <w:pPr>
              <w:spacing w:before="80" w:after="80"/>
            </w:pPr>
            <w:r>
              <w:rPr>
                <w:rFonts w:ascii="Calibri" w:hAnsi="Calibri"/>
                <w:b/>
                <w:color w:val="FFFFFF"/>
                <w:sz w:val="20"/>
              </w:rPr>
              <w:t>Fuente</w:t>
            </w:r>
          </w:p>
        </w:tc>
        <w:tc>
          <w:tcPr>
            <w:tcW w:type="dxa" w:w="1455"/>
            <w:vAlign w:val="center"/>
            <w:shd w:val="clear" w:color="auto" w:fill="1E5F9E"/>
          </w:tcPr>
          <w:p>
            <w:pPr>
              <w:spacing w:before="80" w:after="80"/>
            </w:pPr>
            <w:r>
              <w:rPr>
                <w:rFonts w:ascii="Calibri" w:hAnsi="Calibri"/>
                <w:b/>
                <w:color w:val="FFFFFF"/>
                <w:sz w:val="20"/>
              </w:rPr>
              <w:t>Frecuencia</w:t>
            </w:r>
          </w:p>
        </w:tc>
        <w:tc>
          <w:tcPr>
            <w:tcW w:type="dxa" w:w="1455"/>
            <w:vAlign w:val="center"/>
            <w:shd w:val="clear" w:color="auto" w:fill="1E5F9E"/>
          </w:tcPr>
          <w:p>
            <w:pPr>
              <w:spacing w:before="80" w:after="80"/>
            </w:pPr>
            <w:r>
              <w:rPr>
                <w:rFonts w:ascii="Calibri" w:hAnsi="Calibri"/>
                <w:b/>
                <w:color w:val="FFFFFF"/>
                <w:sz w:val="20"/>
              </w:rPr>
              <w:t>Costo</w:t>
            </w:r>
          </w:p>
        </w:tc>
      </w:tr>
      <w:tr>
        <w:tc>
          <w:tcPr>
            <w:tcW w:type="dxa" w:w="1455"/>
            <w:vAlign w:val="center"/>
          </w:tcPr>
          <w:p>
            <w:pPr>
              <w:spacing w:before="60" w:after="60"/>
            </w:pPr>
            <w:r>
              <w:rPr>
                <w:rFonts w:ascii="Calibri" w:hAnsi="Calibri"/>
                <w:color w:val="1A233A"/>
                <w:sz w:val="19"/>
              </w:rPr>
              <w:t>1</w:t>
            </w:r>
          </w:p>
        </w:tc>
        <w:tc>
          <w:tcPr>
            <w:tcW w:type="dxa" w:w="1455"/>
            <w:vAlign w:val="center"/>
          </w:tcPr>
          <w:p>
            <w:pPr>
              <w:spacing w:before="60" w:after="60"/>
            </w:pPr>
            <w:r>
              <w:rPr>
                <w:rFonts w:ascii="Calibri" w:hAnsi="Calibri"/>
                <w:color w:val="1A233A"/>
                <w:sz w:val="19"/>
              </w:rPr>
              <w:t>EMAE (Estimador Mensual de Actividad Económica)</w:t>
            </w:r>
          </w:p>
        </w:tc>
        <w:tc>
          <w:tcPr>
            <w:tcW w:type="dxa" w:w="1455"/>
            <w:vAlign w:val="center"/>
          </w:tcPr>
          <w:p>
            <w:pPr>
              <w:spacing w:before="60" w:after="60"/>
            </w:pPr>
            <w:r>
              <w:rPr>
                <w:rFonts w:ascii="Calibri" w:hAnsi="Calibri"/>
                <w:color w:val="1A233A"/>
                <w:sz w:val="19"/>
              </w:rPr>
              <w:t>Variable de actividad real. Sin ella el dashboard no puede distinguir "ajuste exitoso" de "recesión inducida". Núcleo del juego económico de Matus.</w:t>
            </w:r>
          </w:p>
        </w:tc>
        <w:tc>
          <w:tcPr>
            <w:tcW w:type="dxa" w:w="1455"/>
            <w:vAlign w:val="center"/>
          </w:tcPr>
          <w:p>
            <w:pPr>
              <w:spacing w:before="60" w:after="60"/>
            </w:pPr>
            <w:r>
              <w:rPr>
                <w:rFonts w:ascii="Calibri" w:hAnsi="Calibri"/>
                <w:color w:val="1A233A"/>
                <w:sz w:val="19"/>
              </w:rPr>
              <w:t>INDEC — EMAE</w:t>
            </w:r>
          </w:p>
        </w:tc>
        <w:tc>
          <w:tcPr>
            <w:tcW w:type="dxa" w:w="1455"/>
            <w:vAlign w:val="center"/>
          </w:tcPr>
          <w:p>
            <w:pPr>
              <w:spacing w:before="60" w:after="60"/>
            </w:pPr>
            <w:r>
              <w:rPr>
                <w:rFonts w:ascii="Calibri" w:hAnsi="Calibri"/>
                <w:color w:val="1A233A"/>
                <w:sz w:val="19"/>
              </w:rPr>
              <w:t>Mensual</w:t>
            </w:r>
          </w:p>
        </w:tc>
        <w:tc>
          <w:tcPr>
            <w:tcW w:type="dxa" w:w="1455"/>
            <w:vAlign w:val="center"/>
          </w:tcPr>
          <w:p>
            <w:pPr>
              <w:spacing w:before="60" w:after="60"/>
            </w:pPr>
            <w:r>
              <w:rPr>
                <w:rFonts w:ascii="Calibri" w:hAnsi="Calibri"/>
                <w:color w:val="1A233A"/>
                <w:sz w:val="19"/>
              </w:rPr>
              <w:t>Bajo</w:t>
            </w:r>
          </w:p>
        </w:tc>
      </w:tr>
      <w:tr>
        <w:tc>
          <w:tcPr>
            <w:tcW w:type="dxa" w:w="1455"/>
            <w:vAlign w:val="center"/>
            <w:shd w:val="clear" w:color="auto" w:fill="EBF4FD"/>
          </w:tcPr>
          <w:p>
            <w:pPr>
              <w:spacing w:before="60" w:after="60"/>
            </w:pPr>
            <w:r>
              <w:rPr>
                <w:rFonts w:ascii="Calibri" w:hAnsi="Calibri"/>
                <w:color w:val="1A233A"/>
                <w:sz w:val="19"/>
              </w:rPr>
              <w:t>2</w:t>
            </w:r>
          </w:p>
        </w:tc>
        <w:tc>
          <w:tcPr>
            <w:tcW w:type="dxa" w:w="1455"/>
            <w:vAlign w:val="center"/>
            <w:shd w:val="clear" w:color="auto" w:fill="EBF4FD"/>
          </w:tcPr>
          <w:p>
            <w:pPr>
              <w:spacing w:before="60" w:after="60"/>
            </w:pPr>
            <w:r>
              <w:rPr>
                <w:rFonts w:ascii="Calibri" w:hAnsi="Calibri"/>
                <w:color w:val="1A233A"/>
                <w:sz w:val="19"/>
              </w:rPr>
              <w:t>Tasa de desempleo + subocupación</w:t>
            </w:r>
          </w:p>
        </w:tc>
        <w:tc>
          <w:tcPr>
            <w:tcW w:type="dxa" w:w="1455"/>
            <w:vAlign w:val="center"/>
            <w:shd w:val="clear" w:color="auto" w:fill="EBF4FD"/>
          </w:tcPr>
          <w:p>
            <w:pPr>
              <w:spacing w:before="60" w:after="60"/>
            </w:pPr>
            <w:r>
              <w:rPr>
                <w:rFonts w:ascii="Calibri" w:hAnsi="Calibri"/>
                <w:color w:val="1A233A"/>
                <w:sz w:val="19"/>
              </w:rPr>
              <w:t>Mercado de trabajo es el puente entre cinturón económico y cinturón de vida cotidiana. Matus lo trata como variable de gobernabilidad de primer orden.</w:t>
            </w:r>
          </w:p>
        </w:tc>
        <w:tc>
          <w:tcPr>
            <w:tcW w:type="dxa" w:w="1455"/>
            <w:vAlign w:val="center"/>
            <w:shd w:val="clear" w:color="auto" w:fill="EBF4FD"/>
          </w:tcPr>
          <w:p>
            <w:pPr>
              <w:spacing w:before="60" w:after="60"/>
            </w:pPr>
            <w:r>
              <w:rPr>
                <w:rFonts w:ascii="Calibri" w:hAnsi="Calibri"/>
                <w:color w:val="1A233A"/>
                <w:sz w:val="19"/>
              </w:rPr>
              <w:t>INDEC — EPH</w:t>
            </w:r>
          </w:p>
        </w:tc>
        <w:tc>
          <w:tcPr>
            <w:tcW w:type="dxa" w:w="1455"/>
            <w:vAlign w:val="center"/>
            <w:shd w:val="clear" w:color="auto" w:fill="EBF4FD"/>
          </w:tcPr>
          <w:p>
            <w:pPr>
              <w:spacing w:before="60" w:after="60"/>
            </w:pPr>
            <w:r>
              <w:rPr>
                <w:rFonts w:ascii="Calibri" w:hAnsi="Calibri"/>
                <w:color w:val="1A233A"/>
                <w:sz w:val="19"/>
              </w:rPr>
              <w:t>Trimestral</w:t>
            </w:r>
          </w:p>
        </w:tc>
        <w:tc>
          <w:tcPr>
            <w:tcW w:type="dxa" w:w="1455"/>
            <w:vAlign w:val="center"/>
            <w:shd w:val="clear" w:color="auto" w:fill="EBF4FD"/>
          </w:tcPr>
          <w:p>
            <w:pPr>
              <w:spacing w:before="60" w:after="60"/>
            </w:pPr>
            <w:r>
              <w:rPr>
                <w:rFonts w:ascii="Calibri" w:hAnsi="Calibri"/>
                <w:color w:val="1A233A"/>
                <w:sz w:val="19"/>
              </w:rPr>
              <w:t>Bajo</w:t>
            </w:r>
          </w:p>
        </w:tc>
      </w:tr>
      <w:tr>
        <w:tc>
          <w:tcPr>
            <w:tcW w:type="dxa" w:w="1455"/>
            <w:vAlign w:val="center"/>
          </w:tcPr>
          <w:p>
            <w:pPr>
              <w:spacing w:before="60" w:after="60"/>
            </w:pPr>
            <w:r>
              <w:rPr>
                <w:rFonts w:ascii="Calibri" w:hAnsi="Calibri"/>
                <w:color w:val="1A233A"/>
                <w:sz w:val="19"/>
              </w:rPr>
              <w:t>3</w:t>
            </w:r>
          </w:p>
        </w:tc>
        <w:tc>
          <w:tcPr>
            <w:tcW w:type="dxa" w:w="1455"/>
            <w:vAlign w:val="center"/>
          </w:tcPr>
          <w:p>
            <w:pPr>
              <w:spacing w:before="60" w:after="60"/>
            </w:pPr>
            <w:r>
              <w:rPr>
                <w:rFonts w:ascii="Calibri" w:hAnsi="Calibri"/>
                <w:color w:val="1A233A"/>
                <w:sz w:val="19"/>
              </w:rPr>
              <w:t>Deuda pública bruta / PBI (y deuda en moneda extranjera / reservas)</w:t>
            </w:r>
          </w:p>
        </w:tc>
        <w:tc>
          <w:tcPr>
            <w:tcW w:type="dxa" w:w="1455"/>
            <w:vAlign w:val="center"/>
          </w:tcPr>
          <w:p>
            <w:pPr>
              <w:spacing w:before="60" w:after="60"/>
            </w:pPr>
            <w:r>
              <w:rPr>
                <w:rFonts w:ascii="Calibri" w:hAnsi="Calibri"/>
                <w:color w:val="1A233A"/>
                <w:sz w:val="19"/>
              </w:rPr>
              <w:t>Stock de obligaciones. Sin esto, el resultado fiscal mensual se lee fuera de contexto. Matus distingue equilibrio coyuntural de solvencia estructural.</w:t>
            </w:r>
          </w:p>
        </w:tc>
        <w:tc>
          <w:tcPr>
            <w:tcW w:type="dxa" w:w="1455"/>
            <w:vAlign w:val="center"/>
          </w:tcPr>
          <w:p>
            <w:pPr>
              <w:spacing w:before="60" w:after="60"/>
            </w:pPr>
            <w:r>
              <w:rPr>
                <w:rFonts w:ascii="Calibri" w:hAnsi="Calibri"/>
                <w:color w:val="1A233A"/>
                <w:sz w:val="19"/>
              </w:rPr>
              <w:t>Secretaría de Finanzas — Boletín Trimestral</w:t>
            </w:r>
          </w:p>
        </w:tc>
        <w:tc>
          <w:tcPr>
            <w:tcW w:type="dxa" w:w="1455"/>
            <w:vAlign w:val="center"/>
          </w:tcPr>
          <w:p>
            <w:pPr>
              <w:spacing w:before="60" w:after="60"/>
            </w:pPr>
            <w:r>
              <w:rPr>
                <w:rFonts w:ascii="Calibri" w:hAnsi="Calibri"/>
                <w:color w:val="1A233A"/>
                <w:sz w:val="19"/>
              </w:rPr>
              <w:t>Trimestral</w:t>
            </w:r>
          </w:p>
        </w:tc>
        <w:tc>
          <w:tcPr>
            <w:tcW w:type="dxa" w:w="1455"/>
            <w:vAlign w:val="center"/>
          </w:tcPr>
          <w:p>
            <w:pPr>
              <w:spacing w:before="60" w:after="60"/>
            </w:pPr>
            <w:r>
              <w:rPr>
                <w:rFonts w:ascii="Calibri" w:hAnsi="Calibri"/>
                <w:color w:val="1A233A"/>
                <w:sz w:val="19"/>
              </w:rPr>
              <w:t>Bajo</w:t>
            </w:r>
          </w:p>
        </w:tc>
      </w:tr>
      <w:tr>
        <w:tc>
          <w:tcPr>
            <w:tcW w:type="dxa" w:w="1455"/>
            <w:vAlign w:val="center"/>
            <w:shd w:val="clear" w:color="auto" w:fill="EBF4FD"/>
          </w:tcPr>
          <w:p>
            <w:pPr>
              <w:spacing w:before="60" w:after="60"/>
            </w:pPr>
            <w:r>
              <w:rPr>
                <w:rFonts w:ascii="Calibri" w:hAnsi="Calibri"/>
                <w:color w:val="1A233A"/>
                <w:sz w:val="19"/>
              </w:rPr>
              <w:t>4</w:t>
            </w:r>
          </w:p>
        </w:tc>
        <w:tc>
          <w:tcPr>
            <w:tcW w:type="dxa" w:w="1455"/>
            <w:vAlign w:val="center"/>
            <w:shd w:val="clear" w:color="auto" w:fill="EBF4FD"/>
          </w:tcPr>
          <w:p>
            <w:pPr>
              <w:spacing w:before="60" w:after="60"/>
            </w:pPr>
            <w:r>
              <w:rPr>
                <w:rFonts w:ascii="Calibri" w:hAnsi="Calibri"/>
                <w:color w:val="1A233A"/>
                <w:sz w:val="19"/>
              </w:rPr>
              <w:t>Expectativas de inflación REM (12 meses adelante)</w:t>
            </w:r>
          </w:p>
        </w:tc>
        <w:tc>
          <w:tcPr>
            <w:tcW w:type="dxa" w:w="1455"/>
            <w:vAlign w:val="center"/>
            <w:shd w:val="clear" w:color="auto" w:fill="EBF4FD"/>
          </w:tcPr>
          <w:p>
            <w:pPr>
              <w:spacing w:before="60" w:after="60"/>
            </w:pPr>
            <w:r>
              <w:rPr>
                <w:rFonts w:ascii="Calibri" w:hAnsi="Calibri"/>
                <w:color w:val="1A233A"/>
                <w:sz w:val="19"/>
              </w:rPr>
              <w:t>Variable forward-looking. Permite leer si la baja del IPC es transitoria o desinflación creíble. Matus: el actor que solo mira el pasado está ciego al futuro.</w:t>
            </w:r>
          </w:p>
        </w:tc>
        <w:tc>
          <w:tcPr>
            <w:tcW w:type="dxa" w:w="1455"/>
            <w:vAlign w:val="center"/>
            <w:shd w:val="clear" w:color="auto" w:fill="EBF4FD"/>
          </w:tcPr>
          <w:p>
            <w:pPr>
              <w:spacing w:before="60" w:after="60"/>
            </w:pPr>
            <w:r>
              <w:rPr>
                <w:rFonts w:ascii="Calibri" w:hAnsi="Calibri"/>
                <w:color w:val="1A233A"/>
                <w:sz w:val="19"/>
              </w:rPr>
              <w:t>BCRA — REM</w:t>
            </w:r>
          </w:p>
        </w:tc>
        <w:tc>
          <w:tcPr>
            <w:tcW w:type="dxa" w:w="1455"/>
            <w:vAlign w:val="center"/>
            <w:shd w:val="clear" w:color="auto" w:fill="EBF4FD"/>
          </w:tcPr>
          <w:p>
            <w:pPr>
              <w:spacing w:before="60" w:after="60"/>
            </w:pPr>
            <w:r>
              <w:rPr>
                <w:rFonts w:ascii="Calibri" w:hAnsi="Calibri"/>
                <w:color w:val="1A233A"/>
                <w:sz w:val="19"/>
              </w:rPr>
              <w:t>Mensual</w:t>
            </w:r>
          </w:p>
        </w:tc>
        <w:tc>
          <w:tcPr>
            <w:tcW w:type="dxa" w:w="1455"/>
            <w:vAlign w:val="center"/>
            <w:shd w:val="clear" w:color="auto" w:fill="EBF4FD"/>
          </w:tcPr>
          <w:p>
            <w:pPr>
              <w:spacing w:before="60" w:after="60"/>
            </w:pPr>
            <w:r>
              <w:rPr>
                <w:rFonts w:ascii="Calibri" w:hAnsi="Calibri"/>
                <w:color w:val="1A233A"/>
                <w:sz w:val="19"/>
              </w:rPr>
              <w:t>Bajo</w:t>
            </w:r>
          </w:p>
        </w:tc>
      </w:tr>
      <w:tr>
        <w:tc>
          <w:tcPr>
            <w:tcW w:type="dxa" w:w="1455"/>
            <w:vAlign w:val="center"/>
          </w:tcPr>
          <w:p>
            <w:pPr>
              <w:spacing w:before="60" w:after="60"/>
            </w:pPr>
            <w:r>
              <w:rPr>
                <w:rFonts w:ascii="Calibri" w:hAnsi="Calibri"/>
                <w:color w:val="1A233A"/>
                <w:sz w:val="19"/>
              </w:rPr>
              <w:t>5</w:t>
            </w:r>
          </w:p>
        </w:tc>
        <w:tc>
          <w:tcPr>
            <w:tcW w:type="dxa" w:w="1455"/>
            <w:vAlign w:val="center"/>
          </w:tcPr>
          <w:p>
            <w:pPr>
              <w:spacing w:before="60" w:after="60"/>
            </w:pPr>
            <w:r>
              <w:rPr>
                <w:rFonts w:ascii="Calibri" w:hAnsi="Calibri"/>
                <w:color w:val="1A233A"/>
                <w:sz w:val="19"/>
              </w:rPr>
              <w:t>Recaudación tributaria real (deflactada por IPC, var. i.a.)</w:t>
            </w:r>
          </w:p>
        </w:tc>
        <w:tc>
          <w:tcPr>
            <w:tcW w:type="dxa" w:w="1455"/>
            <w:vAlign w:val="center"/>
          </w:tcPr>
          <w:p>
            <w:pPr>
              <w:spacing w:before="60" w:after="60"/>
            </w:pPr>
            <w:r>
              <w:rPr>
                <w:rFonts w:ascii="Calibri" w:hAnsi="Calibri"/>
                <w:color w:val="1A233A"/>
                <w:sz w:val="19"/>
              </w:rPr>
              <w:t>Indicador adelantado de actividad y consumo. Más oportuno que EMAE. Cruza fiscal con real.</w:t>
            </w:r>
          </w:p>
        </w:tc>
        <w:tc>
          <w:tcPr>
            <w:tcW w:type="dxa" w:w="1455"/>
            <w:vAlign w:val="center"/>
          </w:tcPr>
          <w:p>
            <w:pPr>
              <w:spacing w:before="60" w:after="60"/>
            </w:pPr>
            <w:r>
              <w:rPr>
                <w:rFonts w:ascii="Calibri" w:hAnsi="Calibri"/>
                <w:color w:val="1A233A"/>
                <w:sz w:val="19"/>
              </w:rPr>
              <w:t>AFIP — Informe Mensual</w:t>
            </w:r>
          </w:p>
        </w:tc>
        <w:tc>
          <w:tcPr>
            <w:tcW w:type="dxa" w:w="1455"/>
            <w:vAlign w:val="center"/>
          </w:tcPr>
          <w:p>
            <w:pPr>
              <w:spacing w:before="60" w:after="60"/>
            </w:pPr>
            <w:r>
              <w:rPr>
                <w:rFonts w:ascii="Calibri" w:hAnsi="Calibri"/>
                <w:color w:val="1A233A"/>
                <w:sz w:val="19"/>
              </w:rPr>
              <w:t>Mensual</w:t>
            </w:r>
          </w:p>
        </w:tc>
        <w:tc>
          <w:tcPr>
            <w:tcW w:type="dxa" w:w="1455"/>
            <w:vAlign w:val="center"/>
          </w:tcPr>
          <w:p>
            <w:pPr>
              <w:spacing w:before="60" w:after="60"/>
            </w:pPr>
            <w:r>
              <w:rPr>
                <w:rFonts w:ascii="Calibri" w:hAnsi="Calibri"/>
                <w:color w:val="1A233A"/>
                <w:sz w:val="19"/>
              </w:rPr>
              <w:t>Bajo</w:t>
            </w:r>
          </w:p>
        </w:tc>
      </w:tr>
      <w:tr>
        <w:tc>
          <w:tcPr>
            <w:tcW w:type="dxa" w:w="1455"/>
            <w:vAlign w:val="center"/>
            <w:shd w:val="clear" w:color="auto" w:fill="EBF4FD"/>
          </w:tcPr>
          <w:p>
            <w:pPr>
              <w:spacing w:before="60" w:after="60"/>
            </w:pPr>
            <w:r>
              <w:rPr>
                <w:rFonts w:ascii="Calibri" w:hAnsi="Calibri"/>
                <w:color w:val="1A233A"/>
                <w:sz w:val="19"/>
              </w:rPr>
              <w:t>6</w:t>
            </w:r>
          </w:p>
        </w:tc>
        <w:tc>
          <w:tcPr>
            <w:tcW w:type="dxa" w:w="1455"/>
            <w:vAlign w:val="center"/>
            <w:shd w:val="clear" w:color="auto" w:fill="EBF4FD"/>
          </w:tcPr>
          <w:p>
            <w:pPr>
              <w:spacing w:before="60" w:after="60"/>
            </w:pPr>
            <w:r>
              <w:rPr>
                <w:rFonts w:ascii="Calibri" w:hAnsi="Calibri"/>
                <w:color w:val="1A233A"/>
                <w:sz w:val="19"/>
              </w:rPr>
              <w:t>Crédito al sector privado en términos reales</w:t>
            </w:r>
          </w:p>
        </w:tc>
        <w:tc>
          <w:tcPr>
            <w:tcW w:type="dxa" w:w="1455"/>
            <w:vAlign w:val="center"/>
            <w:shd w:val="clear" w:color="auto" w:fill="EBF4FD"/>
          </w:tcPr>
          <w:p>
            <w:pPr>
              <w:spacing w:before="60" w:after="60"/>
            </w:pPr>
            <w:r>
              <w:rPr>
                <w:rFonts w:ascii="Calibri" w:hAnsi="Calibri"/>
                <w:color w:val="1A233A"/>
                <w:sz w:val="19"/>
              </w:rPr>
              <w:t>Mide si el sistema financiero está funcionando como motor o como freno. Variable de transmisión del juego económico.</w:t>
            </w:r>
          </w:p>
        </w:tc>
        <w:tc>
          <w:tcPr>
            <w:tcW w:type="dxa" w:w="1455"/>
            <w:vAlign w:val="center"/>
            <w:shd w:val="clear" w:color="auto" w:fill="EBF4FD"/>
          </w:tcPr>
          <w:p>
            <w:pPr>
              <w:spacing w:before="60" w:after="60"/>
            </w:pPr>
            <w:r>
              <w:rPr>
                <w:rFonts w:ascii="Calibri" w:hAnsi="Calibri"/>
                <w:color w:val="1A233A"/>
                <w:sz w:val="19"/>
              </w:rPr>
              <w:t>BCRA — Informe Monetario Mensual</w:t>
            </w:r>
          </w:p>
        </w:tc>
        <w:tc>
          <w:tcPr>
            <w:tcW w:type="dxa" w:w="1455"/>
            <w:vAlign w:val="center"/>
            <w:shd w:val="clear" w:color="auto" w:fill="EBF4FD"/>
          </w:tcPr>
          <w:p>
            <w:pPr>
              <w:spacing w:before="60" w:after="60"/>
            </w:pPr>
            <w:r>
              <w:rPr>
                <w:rFonts w:ascii="Calibri" w:hAnsi="Calibri"/>
                <w:color w:val="1A233A"/>
                <w:sz w:val="19"/>
              </w:rPr>
              <w:t>Mensual</w:t>
            </w:r>
          </w:p>
        </w:tc>
        <w:tc>
          <w:tcPr>
            <w:tcW w:type="dxa" w:w="1455"/>
            <w:vAlign w:val="center"/>
            <w:shd w:val="clear" w:color="auto" w:fill="EBF4FD"/>
          </w:tcPr>
          <w:p>
            <w:pPr>
              <w:spacing w:before="60" w:after="60"/>
            </w:pPr>
            <w:r>
              <w:rPr>
                <w:rFonts w:ascii="Calibri" w:hAnsi="Calibri"/>
                <w:color w:val="1A233A"/>
                <w:sz w:val="19"/>
              </w:rPr>
              <w:t>Bajo</w:t>
            </w:r>
          </w:p>
        </w:tc>
      </w:tr>
      <w:tr>
        <w:tc>
          <w:tcPr>
            <w:tcW w:type="dxa" w:w="1455"/>
            <w:vAlign w:val="center"/>
          </w:tcPr>
          <w:p>
            <w:pPr>
              <w:spacing w:before="60" w:after="60"/>
            </w:pPr>
            <w:r>
              <w:rPr>
                <w:rFonts w:ascii="Calibri" w:hAnsi="Calibri"/>
                <w:color w:val="1A233A"/>
                <w:sz w:val="19"/>
              </w:rPr>
              <w:t>7</w:t>
            </w:r>
          </w:p>
        </w:tc>
        <w:tc>
          <w:tcPr>
            <w:tcW w:type="dxa" w:w="1455"/>
            <w:vAlign w:val="center"/>
          </w:tcPr>
          <w:p>
            <w:pPr>
              <w:spacing w:before="60" w:after="60"/>
            </w:pPr>
            <w:r>
              <w:rPr>
                <w:rFonts w:ascii="Calibri" w:hAnsi="Calibri"/>
                <w:color w:val="1A233A"/>
                <w:sz w:val="19"/>
              </w:rPr>
              <w:t>Utilización de la capacidad instalada industrial</w:t>
            </w:r>
          </w:p>
        </w:tc>
        <w:tc>
          <w:tcPr>
            <w:tcW w:type="dxa" w:w="1455"/>
            <w:vAlign w:val="center"/>
          </w:tcPr>
          <w:p>
            <w:pPr>
              <w:spacing w:before="60" w:after="60"/>
            </w:pPr>
            <w:r>
              <w:rPr>
                <w:rFonts w:ascii="Calibri" w:hAnsi="Calibri"/>
                <w:color w:val="1A233A"/>
                <w:sz w:val="19"/>
              </w:rPr>
              <w:t>Complementa EMAE con foco productivo. Detecta cuello de botella o subutilización.</w:t>
            </w:r>
          </w:p>
        </w:tc>
        <w:tc>
          <w:tcPr>
            <w:tcW w:type="dxa" w:w="1455"/>
            <w:vAlign w:val="center"/>
          </w:tcPr>
          <w:p>
            <w:pPr>
              <w:spacing w:before="60" w:after="60"/>
            </w:pPr>
            <w:r>
              <w:rPr>
                <w:rFonts w:ascii="Calibri" w:hAnsi="Calibri"/>
                <w:color w:val="1A233A"/>
                <w:sz w:val="19"/>
              </w:rPr>
              <w:t>INDEC — UCI</w:t>
            </w:r>
          </w:p>
        </w:tc>
        <w:tc>
          <w:tcPr>
            <w:tcW w:type="dxa" w:w="1455"/>
            <w:vAlign w:val="center"/>
          </w:tcPr>
          <w:p>
            <w:pPr>
              <w:spacing w:before="60" w:after="60"/>
            </w:pPr>
            <w:r>
              <w:rPr>
                <w:rFonts w:ascii="Calibri" w:hAnsi="Calibri"/>
                <w:color w:val="1A233A"/>
                <w:sz w:val="19"/>
              </w:rPr>
              <w:t>Mensual</w:t>
            </w:r>
          </w:p>
        </w:tc>
        <w:tc>
          <w:tcPr>
            <w:tcW w:type="dxa" w:w="1455"/>
            <w:vAlign w:val="center"/>
          </w:tcPr>
          <w:p>
            <w:pPr>
              <w:spacing w:before="60" w:after="60"/>
            </w:pPr>
            <w:r>
              <w:rPr>
                <w:rFonts w:ascii="Calibri" w:hAnsi="Calibri"/>
                <w:color w:val="1A233A"/>
                <w:sz w:val="19"/>
              </w:rPr>
              <w:t>Bajo</w:t>
            </w:r>
          </w:p>
        </w:tc>
      </w:tr>
      <w:tr>
        <w:tc>
          <w:tcPr>
            <w:tcW w:type="dxa" w:w="1455"/>
            <w:vAlign w:val="center"/>
            <w:shd w:val="clear" w:color="auto" w:fill="EBF4FD"/>
          </w:tcPr>
          <w:p>
            <w:pPr>
              <w:spacing w:before="60" w:after="60"/>
            </w:pPr>
            <w:r>
              <w:rPr>
                <w:rFonts w:ascii="Calibri" w:hAnsi="Calibri"/>
                <w:color w:val="1A233A"/>
                <w:sz w:val="19"/>
              </w:rPr>
              <w:t>8</w:t>
            </w:r>
          </w:p>
        </w:tc>
        <w:tc>
          <w:tcPr>
            <w:tcW w:type="dxa" w:w="1455"/>
            <w:vAlign w:val="center"/>
            <w:shd w:val="clear" w:color="auto" w:fill="EBF4FD"/>
          </w:tcPr>
          <w:p>
            <w:pPr>
              <w:spacing w:before="60" w:after="60"/>
            </w:pPr>
            <w:r>
              <w:rPr>
                <w:rFonts w:ascii="Calibri" w:hAnsi="Calibri"/>
                <w:color w:val="1A233A"/>
                <w:sz w:val="19"/>
              </w:rPr>
              <w:t>Pobreza por ingresos (SIPA + canasta básica)</w:t>
            </w:r>
          </w:p>
        </w:tc>
        <w:tc>
          <w:tcPr>
            <w:tcW w:type="dxa" w:w="1455"/>
            <w:vAlign w:val="center"/>
            <w:shd w:val="clear" w:color="auto" w:fill="EBF4FD"/>
          </w:tcPr>
          <w:p>
            <w:pPr>
              <w:spacing w:before="60" w:after="60"/>
            </w:pPr>
            <w:r>
              <w:rPr>
                <w:rFonts w:ascii="Calibri" w:hAnsi="Calibri"/>
                <w:color w:val="1A233A"/>
                <w:sz w:val="19"/>
              </w:rPr>
              <w:t>Aunque va parcialmente en Vida Cotidiana, una proxy mensual (variación de canasta básica vs salario medio) corresponde al cinturón económico.</w:t>
            </w:r>
          </w:p>
        </w:tc>
        <w:tc>
          <w:tcPr>
            <w:tcW w:type="dxa" w:w="1455"/>
            <w:vAlign w:val="center"/>
            <w:shd w:val="clear" w:color="auto" w:fill="EBF4FD"/>
          </w:tcPr>
          <w:p>
            <w:pPr>
              <w:spacing w:before="60" w:after="60"/>
            </w:pPr>
            <w:r>
              <w:rPr>
                <w:rFonts w:ascii="Calibri" w:hAnsi="Calibri"/>
                <w:color w:val="1A233A"/>
                <w:sz w:val="19"/>
              </w:rPr>
              <w:t>INDEC — IPCBA</w:t>
            </w:r>
          </w:p>
        </w:tc>
        <w:tc>
          <w:tcPr>
            <w:tcW w:type="dxa" w:w="1455"/>
            <w:vAlign w:val="center"/>
            <w:shd w:val="clear" w:color="auto" w:fill="EBF4FD"/>
          </w:tcPr>
          <w:p>
            <w:pPr>
              <w:spacing w:before="60" w:after="60"/>
            </w:pPr>
            <w:r>
              <w:rPr>
                <w:rFonts w:ascii="Calibri" w:hAnsi="Calibri"/>
                <w:color w:val="1A233A"/>
                <w:sz w:val="19"/>
              </w:rPr>
              <w:t>Mensual / semestral</w:t>
            </w:r>
          </w:p>
        </w:tc>
        <w:tc>
          <w:tcPr>
            <w:tcW w:type="dxa" w:w="1455"/>
            <w:vAlign w:val="center"/>
            <w:shd w:val="clear" w:color="auto" w:fill="EBF4FD"/>
          </w:tcPr>
          <w:p>
            <w:pPr>
              <w:spacing w:before="60" w:after="60"/>
            </w:pPr>
            <w:r>
              <w:rPr>
                <w:rFonts w:ascii="Calibri" w:hAnsi="Calibri"/>
                <w:color w:val="1A233A"/>
                <w:sz w:val="19"/>
              </w:rPr>
              <w:t>Medio</w:t>
            </w:r>
          </w:p>
        </w:tc>
      </w:tr>
    </w:tbl>
    <w:p/>
    <w:p>
      <w:pPr>
        <w:spacing w:after="120"/>
      </w:pPr>
      <w:r>
        <w:rPr>
          <w:rFonts w:ascii="Calibri" w:hAnsi="Calibri"/>
          <w:b w:val="0"/>
          <w:i w:val="0"/>
          <w:sz w:val="22"/>
        </w:rPr>
        <w:t xml:space="preserve">Las </w:t>
      </w:r>
      <w:r>
        <w:rPr>
          <w:rFonts w:ascii="Calibri" w:hAnsi="Calibri"/>
          <w:b/>
          <w:i w:val="0"/>
          <w:sz w:val="22"/>
        </w:rPr>
        <w:t>prioridades 1, 2, 3 y 4</w:t>
      </w:r>
      <w:r>
        <w:rPr>
          <w:rFonts w:ascii="Calibri" w:hAnsi="Calibri"/>
          <w:b w:val="0"/>
          <w:i w:val="0"/>
          <w:sz w:val="22"/>
        </w:rPr>
        <w:t xml:space="preserve"> son las que cambian sustantivamente el diagnóstico: sin ellas, la pestaña hoy podría dar +57 (holgado) en una economía que estuviera cayendo 4% i.a., con desempleo subiendo y deuda creciendo en términos reales. Eso es justamente el escenario que Matus llama "trampa tecnocrática": el tablero verde mientras la calle entra en crisis.</w:t>
      </w:r>
    </w:p>
    <w:p>
      <w:pPr>
        <w:pBdr>
          <w:bottom w:val="single" w:sz="6" w:space="4" w:color="3A8FC9"/>
        </w:pBdr>
        <w:spacing w:before="120" w:after="120"/>
      </w:pPr>
    </w:p>
    <w:p>
      <w:pPr>
        <w:spacing w:before="200" w:after="120"/>
      </w:pPr>
      <w:r>
        <w:rPr>
          <w:rFonts w:ascii="Calibri" w:hAnsi="Calibri"/>
          <w:b/>
          <w:color w:val="1E5F9E"/>
          <w:sz w:val="30"/>
        </w:rPr>
        <w:t>C. Indicadores redundantes o débiles</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Indicador</w:t>
            </w:r>
          </w:p>
        </w:tc>
        <w:tc>
          <w:tcPr>
            <w:tcW w:type="dxa" w:w="2911"/>
            <w:vAlign w:val="center"/>
            <w:shd w:val="clear" w:color="auto" w:fill="1E5F9E"/>
          </w:tcPr>
          <w:p>
            <w:pPr>
              <w:spacing w:before="80" w:after="80"/>
            </w:pPr>
            <w:r>
              <w:rPr>
                <w:rFonts w:ascii="Calibri" w:hAnsi="Calibri"/>
                <w:b/>
                <w:color w:val="FFFFFF"/>
                <w:sz w:val="20"/>
              </w:rPr>
              <w:t>Diagnóstico</w:t>
            </w:r>
          </w:p>
        </w:tc>
        <w:tc>
          <w:tcPr>
            <w:tcW w:type="dxa" w:w="2911"/>
            <w:vAlign w:val="center"/>
            <w:shd w:val="clear" w:color="auto" w:fill="1E5F9E"/>
          </w:tcPr>
          <w:p>
            <w:pPr>
              <w:spacing w:before="80" w:after="80"/>
            </w:pPr>
            <w:r>
              <w:rPr>
                <w:rFonts w:ascii="Calibri" w:hAnsi="Calibri"/>
                <w:b/>
                <w:color w:val="FFFFFF"/>
                <w:sz w:val="20"/>
              </w:rPr>
              <w:t>Recomendación</w:t>
            </w:r>
          </w:p>
        </w:tc>
      </w:tr>
      <w:tr>
        <w:tc>
          <w:tcPr>
            <w:tcW w:type="dxa" w:w="2911"/>
            <w:vAlign w:val="center"/>
          </w:tcPr>
          <w:p>
            <w:pPr>
              <w:spacing w:before="60" w:after="60"/>
            </w:pPr>
            <w:r>
              <w:rPr>
                <w:rFonts w:ascii="Calibri" w:hAnsi="Calibri"/>
                <w:color w:val="1A233A"/>
                <w:sz w:val="19"/>
              </w:rPr>
              <w:t>Brecha cambiaria 5,6%</w:t>
            </w:r>
          </w:p>
        </w:tc>
        <w:tc>
          <w:tcPr>
            <w:tcW w:type="dxa" w:w="2911"/>
            <w:vAlign w:val="center"/>
          </w:tcPr>
          <w:p>
            <w:pPr>
              <w:spacing w:before="60" w:after="60"/>
            </w:pPr>
            <w:r>
              <w:rPr>
                <w:rFonts w:ascii="Calibri" w:hAnsi="Calibri"/>
                <w:color w:val="1A233A"/>
                <w:sz w:val="19"/>
              </w:rPr>
              <w:t>Con cepo flexibilizado o levantado, la brecha pierde poder informativo. Mide más arbitraje técnico que tensión cambiaria estructural.</w:t>
            </w:r>
          </w:p>
        </w:tc>
        <w:tc>
          <w:tcPr>
            <w:tcW w:type="dxa" w:w="2911"/>
            <w:vAlign w:val="center"/>
          </w:tcPr>
          <w:p>
            <w:pPr>
              <w:spacing w:before="60" w:after="60"/>
            </w:pPr>
            <w:r>
              <w:rPr>
                <w:rFonts w:ascii="Calibri" w:hAnsi="Calibri"/>
                <w:color w:val="1A233A"/>
                <w:sz w:val="19"/>
              </w:rPr>
              <w:t>Refundirla con ITCRM o reemplazarla por prima de riesgo cambiario en futuros (ROFEX vs spot).</w:t>
            </w:r>
          </w:p>
        </w:tc>
      </w:tr>
      <w:tr>
        <w:tc>
          <w:tcPr>
            <w:tcW w:type="dxa" w:w="2911"/>
            <w:vAlign w:val="center"/>
            <w:shd w:val="clear" w:color="auto" w:fill="EBF4FD"/>
          </w:tcPr>
          <w:p>
            <w:pPr>
              <w:spacing w:before="60" w:after="60"/>
            </w:pPr>
            <w:r>
              <w:rPr>
                <w:rFonts w:ascii="Calibri" w:hAnsi="Calibri"/>
                <w:color w:val="1A233A"/>
                <w:sz w:val="19"/>
              </w:rPr>
              <w:t>EMBI+ 539 pb</w:t>
            </w:r>
          </w:p>
        </w:tc>
        <w:tc>
          <w:tcPr>
            <w:tcW w:type="dxa" w:w="2911"/>
            <w:vAlign w:val="center"/>
            <w:shd w:val="clear" w:color="auto" w:fill="EBF4FD"/>
          </w:tcPr>
          <w:p>
            <w:pPr>
              <w:spacing w:before="60" w:after="60"/>
            </w:pPr>
            <w:r>
              <w:rPr>
                <w:rFonts w:ascii="Calibri" w:hAnsi="Calibri"/>
                <w:color w:val="1A233A"/>
                <w:sz w:val="19"/>
              </w:rPr>
              <w:t>Indicador útil, pero correlacionado con expectativas que también capta el REM. Solapa señal con brecha cambiaria.</w:t>
            </w:r>
          </w:p>
        </w:tc>
        <w:tc>
          <w:tcPr>
            <w:tcW w:type="dxa" w:w="2911"/>
            <w:vAlign w:val="center"/>
            <w:shd w:val="clear" w:color="auto" w:fill="EBF4FD"/>
          </w:tcPr>
          <w:p>
            <w:pPr>
              <w:spacing w:before="60" w:after="60"/>
            </w:pPr>
            <w:r>
              <w:rPr>
                <w:rFonts w:ascii="Calibri" w:hAnsi="Calibri"/>
                <w:color w:val="1A233A"/>
                <w:sz w:val="19"/>
              </w:rPr>
              <w:t>Mantener, pero acompañar con paridad de bonos en USD (Globales), que es más sensible y diaria.</w:t>
            </w:r>
          </w:p>
        </w:tc>
      </w:tr>
      <w:tr>
        <w:tc>
          <w:tcPr>
            <w:tcW w:type="dxa" w:w="2911"/>
            <w:vAlign w:val="center"/>
          </w:tcPr>
          <w:p>
            <w:pPr>
              <w:spacing w:before="60" w:after="60"/>
            </w:pPr>
            <w:r>
              <w:rPr>
                <w:rFonts w:ascii="Calibri" w:hAnsi="Calibri"/>
                <w:color w:val="1A233A"/>
                <w:sz w:val="19"/>
              </w:rPr>
              <w:t>Saldo comercial mensual</w:t>
            </w:r>
          </w:p>
        </w:tc>
        <w:tc>
          <w:tcPr>
            <w:tcW w:type="dxa" w:w="2911"/>
            <w:vAlign w:val="center"/>
          </w:tcPr>
          <w:p>
            <w:pPr>
              <w:spacing w:before="60" w:after="60"/>
            </w:pPr>
            <w:r>
              <w:rPr>
                <w:rFonts w:ascii="Calibri" w:hAnsi="Calibri"/>
                <w:color w:val="1A233A"/>
                <w:sz w:val="19"/>
              </w:rPr>
              <w:t>Volátil mes a mes (estacionalidad sojera, energía). Un mes positivo no informa.</w:t>
            </w:r>
          </w:p>
        </w:tc>
        <w:tc>
          <w:tcPr>
            <w:tcW w:type="dxa" w:w="2911"/>
            <w:vAlign w:val="center"/>
          </w:tcPr>
          <w:p>
            <w:pPr>
              <w:spacing w:before="60" w:after="60"/>
            </w:pPr>
            <w:r>
              <w:rPr>
                <w:rFonts w:ascii="Calibri" w:hAnsi="Calibri"/>
                <w:color w:val="1A233A"/>
                <w:sz w:val="19"/>
              </w:rPr>
              <w:t>Reemplazar por saldo comercial acumulado 12 meses móviles, que captura tendencia.</w:t>
            </w:r>
          </w:p>
        </w:tc>
      </w:tr>
      <w:tr>
        <w:tc>
          <w:tcPr>
            <w:tcW w:type="dxa" w:w="2911"/>
            <w:vAlign w:val="center"/>
            <w:shd w:val="clear" w:color="auto" w:fill="EBF4FD"/>
          </w:tcPr>
          <w:p>
            <w:pPr>
              <w:spacing w:before="60" w:after="60"/>
            </w:pPr>
            <w:r>
              <w:rPr>
                <w:rFonts w:ascii="Calibri" w:hAnsi="Calibri"/>
                <w:color w:val="1A233A"/>
                <w:sz w:val="19"/>
              </w:rPr>
              <w:t>Resultado fiscal primario mensual</w:t>
            </w:r>
          </w:p>
        </w:tc>
        <w:tc>
          <w:tcPr>
            <w:tcW w:type="dxa" w:w="2911"/>
            <w:vAlign w:val="center"/>
            <w:shd w:val="clear" w:color="auto" w:fill="EBF4FD"/>
          </w:tcPr>
          <w:p>
            <w:pPr>
              <w:spacing w:before="60" w:after="60"/>
            </w:pPr>
            <w:r>
              <w:rPr>
                <w:rFonts w:ascii="Calibri" w:hAnsi="Calibri"/>
                <w:color w:val="1A233A"/>
                <w:sz w:val="19"/>
              </w:rPr>
              <w:t>Mismo problema de volatilidad. Hay aguinaldos, pagos extraordinarios, armado contable.</w:t>
            </w:r>
          </w:p>
        </w:tc>
        <w:tc>
          <w:tcPr>
            <w:tcW w:type="dxa" w:w="2911"/>
            <w:vAlign w:val="center"/>
            <w:shd w:val="clear" w:color="auto" w:fill="EBF4FD"/>
          </w:tcPr>
          <w:p>
            <w:pPr>
              <w:spacing w:before="60" w:after="60"/>
            </w:pPr>
            <w:r>
              <w:rPr>
                <w:rFonts w:ascii="Calibri" w:hAnsi="Calibri"/>
                <w:color w:val="1A233A"/>
                <w:sz w:val="19"/>
              </w:rPr>
              <w:t>Mostrar acumulado del año vs meta y resultado financiero (incluye intereses), no solo primario. El primario sin intereses oculta el peso de la deuda.</w:t>
            </w:r>
          </w:p>
        </w:tc>
      </w:tr>
    </w:tbl>
    <w:p/>
    <w:p>
      <w:pPr>
        <w:spacing w:after="120"/>
      </w:pPr>
      <w:r>
        <w:rPr>
          <w:rFonts w:ascii="Calibri" w:hAnsi="Calibri"/>
          <w:b w:val="0"/>
          <w:i w:val="0"/>
          <w:sz w:val="22"/>
        </w:rPr>
        <w:t xml:space="preserve">Síntesis: cuatro de los siete indicadores actuales están subóptimamente especificados. No hace falta sacarlos; hace falta presentarlos en su </w:t>
      </w:r>
      <w:r>
        <w:rPr>
          <w:rFonts w:ascii="Calibri" w:hAnsi="Calibri"/>
          <w:b/>
          <w:i w:val="0"/>
          <w:sz w:val="22"/>
        </w:rPr>
        <w:t>forma matusianamente útil</w:t>
      </w:r>
      <w:r>
        <w:rPr>
          <w:rFonts w:ascii="Calibri" w:hAnsi="Calibri"/>
          <w:b w:val="0"/>
          <w:i w:val="0"/>
          <w:sz w:val="22"/>
        </w:rPr>
        <w:t>: tendencia, dirección, contraste con meta. El score binario positivo/negativo agrava el problema.</w:t>
      </w:r>
    </w:p>
    <w:p>
      <w:pPr>
        <w:pBdr>
          <w:bottom w:val="single" w:sz="6" w:space="4" w:color="3A8FC9"/>
        </w:pBdr>
        <w:spacing w:before="120" w:after="120"/>
      </w:pPr>
    </w:p>
    <w:p>
      <w:pPr>
        <w:spacing w:before="200" w:after="120"/>
      </w:pPr>
      <w:r>
        <w:rPr>
          <w:rFonts w:ascii="Calibri" w:hAnsi="Calibri"/>
          <w:b/>
          <w:color w:val="1E5F9E"/>
          <w:sz w:val="30"/>
        </w:rPr>
        <w:t>D. Lectura matusiana del cinturón</w:t>
      </w:r>
    </w:p>
    <w:p>
      <w:pPr>
        <w:spacing w:before="120" w:after="120"/>
      </w:pPr>
      <w:r>
        <w:rPr>
          <w:rFonts w:ascii="Calibri" w:hAnsi="Calibri"/>
          <w:b/>
          <w:color w:val="3A8FC9"/>
          <w:sz w:val="26"/>
        </w:rPr>
        <w:t>Estado del cinturón económico</w:t>
      </w:r>
    </w:p>
    <w:p>
      <w:pPr>
        <w:spacing w:after="120"/>
      </w:pPr>
      <w:r>
        <w:rPr>
          <w:rFonts w:ascii="Calibri" w:hAnsi="Calibri"/>
          <w:b w:val="0"/>
          <w:i w:val="0"/>
          <w:sz w:val="22"/>
        </w:rPr>
        <w:t xml:space="preserve">Si tomamos los siete indicadores tal como están: superávit fiscal, brecha contenida, IPC desacelerando, reservas creciendo, comercio positivo. El dashboard los lee como </w:t>
      </w:r>
      <w:r>
        <w:rPr>
          <w:rFonts w:ascii="Calibri" w:hAnsi="Calibri"/>
          <w:b/>
          <w:i w:val="0"/>
          <w:sz w:val="22"/>
        </w:rPr>
        <w:t>holgado +57</w:t>
      </w:r>
      <w:r>
        <w:rPr>
          <w:rFonts w:ascii="Calibri" w:hAnsi="Calibri"/>
          <w:b w:val="0"/>
          <w:i w:val="0"/>
          <w:sz w:val="22"/>
        </w:rPr>
        <w:t>. Una lectura matusiana — incluso con la información incompleta de la pestaña — daría algo distinto:</w:t>
      </w:r>
    </w:p>
    <w:p>
      <w:pPr>
        <w:spacing w:after="60"/>
        <w:ind w:left="454" w:hanging="283"/>
      </w:pPr>
      <w:r>
        <w:rPr>
          <w:rFonts w:ascii="Calibri" w:hAnsi="Calibri"/>
          <w:b w:val="0"/>
          <w:color w:val="1E5F9E"/>
          <w:sz w:val="22"/>
        </w:rPr>
        <w:t xml:space="preserve">•  </w:t>
      </w:r>
      <w:r>
        <w:rPr>
          <w:rFonts w:ascii="Calibri" w:hAnsi="Calibri"/>
          <w:b w:val="0"/>
          <w:i w:val="0"/>
          <w:sz w:val="22"/>
        </w:rPr>
        <w:t xml:space="preserve">ITCRM en 94,5 indica </w:t>
      </w:r>
      <w:r>
        <w:rPr>
          <w:rFonts w:ascii="Calibri" w:hAnsi="Calibri"/>
          <w:b/>
          <w:i w:val="0"/>
          <w:sz w:val="22"/>
        </w:rPr>
        <w:t>apreciación cambiaria</w:t>
      </w:r>
      <w:r>
        <w:rPr>
          <w:rFonts w:ascii="Calibri" w:hAnsi="Calibri"/>
          <w:b w:val="0"/>
          <w:i w:val="0"/>
          <w:sz w:val="22"/>
        </w:rPr>
        <w:t xml:space="preserve"> acumulada. Eso erosiona competitividad y, vía cuenta corriente, anticipa tensión externa futura.</w:t>
      </w:r>
    </w:p>
    <w:p>
      <w:pPr>
        <w:spacing w:after="60"/>
        <w:ind w:left="454" w:hanging="283"/>
      </w:pPr>
      <w:r>
        <w:rPr>
          <w:rFonts w:ascii="Calibri" w:hAnsi="Calibri"/>
          <w:b w:val="0"/>
          <w:color w:val="1E5F9E"/>
          <w:sz w:val="22"/>
        </w:rPr>
        <w:t xml:space="preserve">•  </w:t>
      </w:r>
      <w:r>
        <w:rPr>
          <w:rFonts w:ascii="Calibri" w:hAnsi="Calibri"/>
          <w:b w:val="0"/>
          <w:i w:val="0"/>
          <w:sz w:val="22"/>
        </w:rPr>
        <w:t xml:space="preserve">EMBI+ en 539 pb es </w:t>
      </w:r>
      <w:r>
        <w:rPr>
          <w:rFonts w:ascii="Calibri" w:hAnsi="Calibri"/>
          <w:b/>
          <w:i w:val="0"/>
          <w:sz w:val="22"/>
        </w:rPr>
        <w:t>alto</w:t>
      </w:r>
      <w:r>
        <w:rPr>
          <w:rFonts w:ascii="Calibri" w:hAnsi="Calibri"/>
          <w:b w:val="0"/>
          <w:i w:val="0"/>
          <w:sz w:val="22"/>
        </w:rPr>
        <w:t xml:space="preserve"> en términos absolutos: el mercado todavía exige prima de riesgo significativa pese a los buenos números fiscales.</w:t>
      </w:r>
    </w:p>
    <w:p>
      <w:pPr>
        <w:spacing w:after="60"/>
        <w:ind w:left="454" w:hanging="283"/>
      </w:pPr>
      <w:r>
        <w:rPr>
          <w:rFonts w:ascii="Calibri" w:hAnsi="Calibri"/>
          <w:b w:val="0"/>
          <w:color w:val="1E5F9E"/>
          <w:sz w:val="22"/>
        </w:rPr>
        <w:t xml:space="preserve">•  </w:t>
      </w:r>
      <w:r>
        <w:rPr>
          <w:rFonts w:ascii="Calibri" w:hAnsi="Calibri"/>
          <w:b w:val="0"/>
          <w:i w:val="0"/>
          <w:sz w:val="22"/>
        </w:rPr>
        <w:t>IPC mensual 3,4% anualizado es ~50%; el i.a. 32,6% sigue siendo de los más altos del mundo.</w:t>
      </w:r>
    </w:p>
    <w:p>
      <w:pPr>
        <w:spacing w:after="60"/>
        <w:ind w:left="454" w:hanging="283"/>
      </w:pPr>
      <w:r>
        <w:rPr>
          <w:rFonts w:ascii="Calibri" w:hAnsi="Calibri"/>
          <w:b w:val="0"/>
          <w:color w:val="1E5F9E"/>
          <w:sz w:val="22"/>
        </w:rPr>
        <w:t xml:space="preserve">•  </w:t>
      </w:r>
      <w:r>
        <w:rPr>
          <w:rFonts w:ascii="Calibri" w:hAnsi="Calibri"/>
          <w:b w:val="0"/>
          <w:i w:val="0"/>
          <w:sz w:val="22"/>
        </w:rPr>
        <w:t>Sin EMAE ni desempleo, no se puede saber si el ajuste fiscal está montado sobre crecimiento o sobre recesión.</w:t>
      </w:r>
    </w:p>
    <w:p>
      <w:pPr>
        <w:spacing w:after="120"/>
      </w:pPr>
      <w:r>
        <w:rPr>
          <w:rFonts w:ascii="Calibri" w:hAnsi="Calibri"/>
          <w:b w:val="0"/>
          <w:i w:val="0"/>
          <w:sz w:val="22"/>
        </w:rPr>
        <w:t xml:space="preserve">Diagnóstico provisional: el cinturón </w:t>
      </w:r>
      <w:r>
        <w:rPr>
          <w:rFonts w:ascii="Calibri" w:hAnsi="Calibri"/>
          <w:b/>
          <w:i w:val="0"/>
          <w:sz w:val="22"/>
        </w:rPr>
        <w:t>no está holgado</w:t>
      </w:r>
      <w:r>
        <w:rPr>
          <w:rFonts w:ascii="Calibri" w:hAnsi="Calibri"/>
          <w:b w:val="0"/>
          <w:i w:val="0"/>
          <w:sz w:val="22"/>
        </w:rPr>
        <w:t xml:space="preserve">, está en una </w:t>
      </w:r>
      <w:r>
        <w:rPr>
          <w:rFonts w:ascii="Calibri" w:hAnsi="Calibri"/>
          <w:b/>
          <w:i w:val="0"/>
          <w:sz w:val="22"/>
        </w:rPr>
        <w:t>estabilización financiera frágil</w:t>
      </w:r>
      <w:r>
        <w:rPr>
          <w:rFonts w:ascii="Calibri" w:hAnsi="Calibri"/>
          <w:b w:val="0"/>
          <w:i w:val="0"/>
          <w:sz w:val="22"/>
        </w:rPr>
        <w:t xml:space="preserve"> con apreciación cambiaria, riesgo país elevado e inflación todavía alta. La regla matusiana de los tres cinturones (brief, sección 2) lo confirma: la pestaña Vida Cotidiana muestra −20 (tensionado), salario real cayendo y actividad PyME −1,8% i.a. Eso es </w:t>
      </w:r>
      <w:r>
        <w:rPr>
          <w:rFonts w:ascii="Calibri" w:hAnsi="Calibri"/>
          <w:b/>
          <w:i w:val="0"/>
          <w:sz w:val="22"/>
        </w:rPr>
        <w:t>exactamente lo que falta en esta pestaña</w:t>
      </w:r>
      <w:r>
        <w:rPr>
          <w:rFonts w:ascii="Calibri" w:hAnsi="Calibri"/>
          <w:b w:val="0"/>
          <w:i w:val="0"/>
          <w:sz w:val="22"/>
        </w:rPr>
        <w:t xml:space="preserve"> y lo que cambiaría el color del semáforo.</w:t>
      </w:r>
    </w:p>
    <w:p>
      <w:pPr>
        <w:spacing w:before="120" w:after="120"/>
      </w:pPr>
      <w:r>
        <w:rPr>
          <w:rFonts w:ascii="Calibri" w:hAnsi="Calibri"/>
          <w:b/>
          <w:color w:val="3A8FC9"/>
          <w:sz w:val="26"/>
        </w:rPr>
        <w:t>Barbarismo dominante: el tecnocrático</w:t>
      </w:r>
    </w:p>
    <w:p>
      <w:pPr>
        <w:spacing w:after="120"/>
      </w:pPr>
      <w:r>
        <w:rPr>
          <w:rFonts w:ascii="Calibri" w:hAnsi="Calibri"/>
          <w:b w:val="0"/>
          <w:i w:val="0"/>
          <w:sz w:val="22"/>
        </w:rPr>
        <w:t xml:space="preserve">El brief (sección 5) define el </w:t>
      </w:r>
      <w:r>
        <w:rPr>
          <w:rFonts w:ascii="Calibri" w:hAnsi="Calibri"/>
          <w:b/>
          <w:i w:val="0"/>
          <w:sz w:val="22"/>
        </w:rPr>
        <w:t>barbarismo tecnocrático</w:t>
      </w:r>
      <w:r>
        <w:rPr>
          <w:rFonts w:ascii="Calibri" w:hAnsi="Calibri"/>
          <w:b w:val="0"/>
          <w:i w:val="0"/>
          <w:sz w:val="22"/>
        </w:rPr>
        <w:t xml:space="preserve"> como "gobernar mirando solo indicadores económicos, sin lectura política ni de vida cotidiana — el cinturón político se rompe sin aviso". La pestaña Macroeconomía, vista en aislamiento, </w:t>
      </w:r>
      <w:r>
        <w:rPr>
          <w:rFonts w:ascii="Calibri" w:hAnsi="Calibri"/>
          <w:b/>
          <w:i w:val="0"/>
          <w:sz w:val="22"/>
        </w:rPr>
        <w:t>es el caldo de cultivo perfecto</w:t>
      </w:r>
      <w:r>
        <w:rPr>
          <w:rFonts w:ascii="Calibri" w:hAnsi="Calibri"/>
          <w:b w:val="0"/>
          <w:i w:val="0"/>
          <w:sz w:val="22"/>
        </w:rPr>
        <w:t xml:space="preserve"> de ese barbarismo:</w:t>
      </w:r>
    </w:p>
    <w:p>
      <w:pPr>
        <w:spacing w:after="60"/>
        <w:ind w:left="454" w:hanging="283"/>
      </w:pPr>
      <w:r>
        <w:rPr>
          <w:rFonts w:ascii="Calibri" w:hAnsi="Calibri"/>
          <w:b w:val="0"/>
          <w:color w:val="1E5F9E"/>
          <w:sz w:val="22"/>
        </w:rPr>
        <w:t xml:space="preserve">•  </w:t>
      </w:r>
      <w:r>
        <w:rPr>
          <w:rFonts w:ascii="Calibri" w:hAnsi="Calibri"/>
          <w:b w:val="0"/>
          <w:i w:val="0"/>
          <w:sz w:val="22"/>
        </w:rPr>
        <w:t>Selecciona variables financieras de corto plazo (precio del dólar, EMBI, brecha) por encima de variables de actividad real.</w:t>
      </w:r>
    </w:p>
    <w:p>
      <w:pPr>
        <w:spacing w:after="60"/>
        <w:ind w:left="454" w:hanging="283"/>
      </w:pPr>
      <w:r>
        <w:rPr>
          <w:rFonts w:ascii="Calibri" w:hAnsi="Calibri"/>
          <w:b w:val="0"/>
          <w:color w:val="1E5F9E"/>
          <w:sz w:val="22"/>
        </w:rPr>
        <w:t xml:space="preserve">•  </w:t>
      </w:r>
      <w:r>
        <w:rPr>
          <w:rFonts w:ascii="Calibri" w:hAnsi="Calibri"/>
          <w:b w:val="0"/>
          <w:i w:val="0"/>
          <w:sz w:val="22"/>
        </w:rPr>
        <w:t>Aplica un score positivo/negativo que premia el síntoma de éxito financiero (superávit, baja brecha) sin pesarlo contra costo social.</w:t>
      </w:r>
    </w:p>
    <w:p>
      <w:pPr>
        <w:spacing w:after="60"/>
        <w:ind w:left="454" w:hanging="283"/>
      </w:pPr>
      <w:r>
        <w:rPr>
          <w:rFonts w:ascii="Calibri" w:hAnsi="Calibri"/>
          <w:b w:val="0"/>
          <w:color w:val="1E5F9E"/>
          <w:sz w:val="22"/>
        </w:rPr>
        <w:t xml:space="preserve">•  </w:t>
      </w:r>
      <w:r>
        <w:rPr>
          <w:rFonts w:ascii="Calibri" w:hAnsi="Calibri"/>
          <w:b w:val="0"/>
          <w:i w:val="0"/>
          <w:sz w:val="22"/>
        </w:rPr>
        <w:t>No incluye un solo indicador de empleo, salarios reales, deuda o pobreza dentro del propio cinturón.</w:t>
      </w:r>
    </w:p>
    <w:p>
      <w:pPr>
        <w:spacing w:after="60"/>
        <w:ind w:left="454" w:hanging="283"/>
      </w:pPr>
      <w:r>
        <w:rPr>
          <w:rFonts w:ascii="Calibri" w:hAnsi="Calibri"/>
          <w:b w:val="0"/>
          <w:color w:val="1E5F9E"/>
          <w:sz w:val="22"/>
        </w:rPr>
        <w:t xml:space="preserve">•  </w:t>
      </w:r>
      <w:r>
        <w:rPr>
          <w:rFonts w:ascii="Calibri" w:hAnsi="Calibri"/>
          <w:b w:val="0"/>
          <w:i w:val="0"/>
          <w:sz w:val="22"/>
        </w:rPr>
        <w:t>No mide expectativas (REM), por lo que la lectura es retrospectiva.</w:t>
      </w:r>
    </w:p>
    <w:p>
      <w:pPr>
        <w:spacing w:after="120"/>
      </w:pPr>
      <w:r>
        <w:rPr>
          <w:rFonts w:ascii="Calibri" w:hAnsi="Calibri"/>
          <w:b w:val="0"/>
          <w:i w:val="0"/>
          <w:sz w:val="22"/>
        </w:rPr>
        <w:t xml:space="preserve">Un usuario que mire </w:t>
      </w:r>
      <w:r>
        <w:rPr>
          <w:rFonts w:ascii="Calibri" w:hAnsi="Calibri"/>
          <w:b/>
          <w:i w:val="0"/>
          <w:sz w:val="22"/>
        </w:rPr>
        <w:t>solo esta pestaña</w:t>
      </w:r>
      <w:r>
        <w:rPr>
          <w:rFonts w:ascii="Calibri" w:hAnsi="Calibri"/>
          <w:b w:val="0"/>
          <w:i w:val="0"/>
          <w:sz w:val="22"/>
        </w:rPr>
        <w:t xml:space="preserve"> concluye que el gobierno tiene la macro resuelta. Cualquier responsable político con esa información tomaría decisiones equivocadas, porque la economía real no aparece. Matus llamaría a esto "gobernar con un tablero cuyos sensores apuntan al cielo y no a la ruta".</w:t>
      </w:r>
    </w:p>
    <w:p>
      <w:pPr>
        <w:spacing w:before="120" w:after="120"/>
      </w:pPr>
      <w:r>
        <w:rPr>
          <w:rFonts w:ascii="Calibri" w:hAnsi="Calibri"/>
          <w:b/>
          <w:color w:val="3A8FC9"/>
          <w:sz w:val="26"/>
        </w:rPr>
        <w:t>Mezcla stocks/flujos/precios</w:t>
      </w:r>
    </w:p>
    <w:p>
      <w:pPr>
        <w:spacing w:after="120"/>
      </w:pPr>
      <w:r>
        <w:rPr>
          <w:rFonts w:ascii="Calibri" w:hAnsi="Calibri"/>
          <w:b w:val="0"/>
          <w:i w:val="0"/>
          <w:sz w:val="22"/>
        </w:rPr>
        <w:t xml:space="preserve">Como se mostró en A: 3 precios + 2 stocks financieros + 2 flujos = </w:t>
      </w:r>
      <w:r>
        <w:rPr>
          <w:rFonts w:ascii="Calibri" w:hAnsi="Calibri"/>
          <w:b/>
          <w:i w:val="0"/>
          <w:sz w:val="22"/>
        </w:rPr>
        <w:t>0 cantidades reales, 0 mercado de trabajo, 0 stock de deuda</w:t>
      </w:r>
      <w:r>
        <w:rPr>
          <w:rFonts w:ascii="Calibri" w:hAnsi="Calibri"/>
          <w:b w:val="0"/>
          <w:i w:val="0"/>
          <w:sz w:val="22"/>
        </w:rPr>
        <w:t>. La mezcla está desbalanceada a favor de la dimensión nominal y financiera. Matus exigiría al menos uno de cada categoría real: cantidad producida (EMAE/UCI), empleo (EPH), pasivo estructural (deuda/PBI).</w:t>
      </w:r>
    </w:p>
    <w:p>
      <w:pPr>
        <w:spacing w:before="120" w:after="120"/>
      </w:pPr>
      <w:r>
        <w:rPr>
          <w:rFonts w:ascii="Calibri" w:hAnsi="Calibri"/>
          <w:b/>
          <w:color w:val="3A8FC9"/>
          <w:sz w:val="26"/>
        </w:rPr>
        <w:t>Recomendación de rediseño</w:t>
      </w:r>
    </w:p>
    <w:p>
      <w:pPr>
        <w:spacing w:after="120"/>
      </w:pPr>
      <w:r>
        <w:rPr>
          <w:rFonts w:ascii="Calibri" w:hAnsi="Calibri"/>
          <w:b w:val="0"/>
          <w:i w:val="0"/>
          <w:sz w:val="22"/>
        </w:rPr>
        <w:t>Una intervención mínima de alto retorno:</w:t>
      </w:r>
    </w:p>
    <w:p>
      <w:pPr>
        <w:spacing w:after="60"/>
        <w:ind w:left="454" w:hanging="283"/>
      </w:pPr>
      <w:r>
        <w:rPr>
          <w:rFonts w:ascii="Calibri" w:hAnsi="Calibri"/>
          <w:b/>
          <w:color w:val="1A233A"/>
          <w:sz w:val="22"/>
        </w:rPr>
        <w:t xml:space="preserve">1.  </w:t>
      </w:r>
      <w:r>
        <w:rPr>
          <w:rFonts w:ascii="Calibri" w:hAnsi="Calibri"/>
          <w:b/>
          <w:i w:val="0"/>
          <w:sz w:val="22"/>
        </w:rPr>
        <w:t>Sumar 4 indicadores de costo bajo y frecuencia mensual</w:t>
      </w:r>
      <w:r>
        <w:rPr>
          <w:rFonts w:ascii="Calibri" w:hAnsi="Calibri"/>
          <w:b w:val="0"/>
          <w:i w:val="0"/>
          <w:sz w:val="22"/>
        </w:rPr>
        <w:t>: EMAE (INDEC), recaudación real (AFIP), expectativas de inflación REM (BCRA), deuda bruta / PBI (Secretaría de Finanzas, trimestral). Esto cierra la dimensión real y la dimensión forward-looking sin inflar la pestaña.</w:t>
      </w:r>
    </w:p>
    <w:p>
      <w:pPr>
        <w:spacing w:after="60"/>
        <w:ind w:left="454" w:hanging="283"/>
      </w:pPr>
      <w:r>
        <w:rPr>
          <w:rFonts w:ascii="Calibri" w:hAnsi="Calibri"/>
          <w:b/>
          <w:color w:val="1A233A"/>
          <w:sz w:val="22"/>
        </w:rPr>
        <w:t xml:space="preserve">2.  </w:t>
      </w:r>
      <w:r>
        <w:rPr>
          <w:rFonts w:ascii="Calibri" w:hAnsi="Calibri"/>
          <w:b/>
          <w:i w:val="0"/>
          <w:sz w:val="22"/>
        </w:rPr>
        <w:t>Reformular dos indicadores existentes</w:t>
      </w:r>
      <w:r>
        <w:rPr>
          <w:rFonts w:ascii="Calibri" w:hAnsi="Calibri"/>
          <w:b w:val="0"/>
          <w:i w:val="0"/>
          <w:sz w:val="22"/>
        </w:rPr>
        <w:t>: saldo comercial → 12 meses móviles; resultado fiscal → acumulado del año + financiero (con intereses).</w:t>
      </w:r>
    </w:p>
    <w:p>
      <w:pPr>
        <w:spacing w:after="60"/>
        <w:ind w:left="454" w:hanging="283"/>
      </w:pPr>
      <w:r>
        <w:rPr>
          <w:rFonts w:ascii="Calibri" w:hAnsi="Calibri"/>
          <w:b/>
          <w:color w:val="1A233A"/>
          <w:sz w:val="22"/>
        </w:rPr>
        <w:t xml:space="preserve">3.  </w:t>
      </w:r>
      <w:r>
        <w:rPr>
          <w:rFonts w:ascii="Calibri" w:hAnsi="Calibri"/>
          <w:b/>
          <w:i w:val="0"/>
          <w:sz w:val="22"/>
        </w:rPr>
        <w:t>Sustituir el score binario por un score de tres dimensiones</w:t>
      </w:r>
      <w:r>
        <w:rPr>
          <w:rFonts w:ascii="Calibri" w:hAnsi="Calibri"/>
          <w:b w:val="0"/>
          <w:i w:val="0"/>
          <w:sz w:val="22"/>
        </w:rPr>
        <w:t>: nivel, dirección (mejora/empeora), velocidad. Un cinturón que mejora en nivel pero empeora en velocidad debe encender alerta amarilla, no quedar en verde.</w:t>
      </w:r>
    </w:p>
    <w:p>
      <w:pPr>
        <w:spacing w:after="60"/>
        <w:ind w:left="454" w:hanging="283"/>
      </w:pPr>
      <w:r>
        <w:rPr>
          <w:rFonts w:ascii="Calibri" w:hAnsi="Calibri"/>
          <w:b/>
          <w:color w:val="1A233A"/>
          <w:sz w:val="22"/>
        </w:rPr>
        <w:t xml:space="preserve">4.  </w:t>
      </w:r>
      <w:r>
        <w:rPr>
          <w:rFonts w:ascii="Calibri" w:hAnsi="Calibri"/>
          <w:b/>
          <w:i w:val="0"/>
          <w:sz w:val="22"/>
        </w:rPr>
        <w:t>Mostrar siempre, en el encabezado de la pestaña, el cruce con Vida Cotidiana</w:t>
      </w:r>
      <w:r>
        <w:rPr>
          <w:rFonts w:ascii="Calibri" w:hAnsi="Calibri"/>
          <w:b w:val="0"/>
          <w:i w:val="0"/>
          <w:sz w:val="22"/>
        </w:rPr>
        <w:t>: salario real y empleo. Eso es el cortafuegos contra el barbarismo tecnocrático: imposible mirar la macro sin ver simultáneamente cómo aterriza en la calle.</w:t>
      </w:r>
    </w:p>
    <w:p>
      <w:pPr>
        <w:spacing w:after="120"/>
      </w:pPr>
      <w:r>
        <w:rPr>
          <w:rFonts w:ascii="Calibri" w:hAnsi="Calibri"/>
          <w:b w:val="0"/>
          <w:i w:val="0"/>
          <w:sz w:val="22"/>
        </w:rPr>
        <w:t>Con esos cambios, la lectura del cinturón económico pasaría de "holgado +57" — diagnóstico falso — a algo más matusiano: estabilización financiera real, recesión real, deuda monitoreada, expectativas en proceso de anclaje. Esa es la información que un gobernante necesita para no caer en la trampa de los tres cinturones apretados al mismo tiempo (brief, sección 2).</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