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pBdr>
          <w:bottom w:val="single" w:sz="12" w:space="4" w:color="1E5F9E"/>
        </w:pBdr>
      </w:pPr>
      <w:r>
        <w:rPr>
          <w:rFonts w:ascii="Calibri" w:hAnsi="Calibri"/>
          <w:b/>
          <w:color w:val="1A233A"/>
          <w:sz w:val="40"/>
        </w:rPr>
        <w:t>Pestaña Vida Cotidiana — Cinturón de Gestión Cotidiana</w:t>
      </w:r>
    </w:p>
    <w:p>
      <w:pPr>
        <w:spacing w:after="40" w:before="40"/>
        <w:ind w:left="680"/>
      </w:pPr>
      <w:r>
        <w:rPr>
          <w:rFonts w:ascii="Calibri" w:hAnsi="Calibri"/>
          <w:b w:val="0"/>
          <w:i/>
          <w:color w:val="606060"/>
          <w:sz w:val="21"/>
        </w:rPr>
        <w:t xml:space="preserve">Análisis matusiano del cinturón de vida cotidiana del dashboard </w:t>
      </w:r>
      <w:r>
        <w:rPr>
          <w:rFonts w:ascii="Courier New" w:hAnsi="Courier New"/>
          <w:b w:val="0"/>
          <w:color w:val="606060"/>
          <w:sz w:val="19"/>
        </w:rPr>
        <w:t>https://cigob.k1t.eu/index.html</w:t>
      </w:r>
      <w:r>
        <w:rPr>
          <w:rFonts w:ascii="Calibri" w:hAnsi="Calibri"/>
          <w:b w:val="0"/>
          <w:i/>
          <w:color w:val="606060"/>
          <w:sz w:val="21"/>
        </w:rPr>
        <w:t>. Se aplica el marco de los tres cinturones (Matus 1997) y la propuesta de 15 indicadores revisada en mayo 2026.</w:t>
      </w:r>
    </w:p>
    <w:p>
      <w:pPr>
        <w:pBdr>
          <w:bottom w:val="single" w:sz="6" w:space="4" w:color="3A8FC9"/>
        </w:pBdr>
        <w:spacing w:before="120" w:after="120"/>
      </w:pPr>
    </w:p>
    <w:p>
      <w:pPr>
        <w:spacing w:before="200" w:after="120"/>
      </w:pPr>
      <w:r>
        <w:rPr>
          <w:rFonts w:ascii="Calibri" w:hAnsi="Calibri"/>
          <w:b/>
          <w:color w:val="1E5F9E"/>
          <w:sz w:val="30"/>
        </w:rPr>
        <w:t>Marco conceptual</w:t>
      </w:r>
    </w:p>
    <w:p>
      <w:pPr>
        <w:spacing w:after="120"/>
      </w:pPr>
      <w:r>
        <w:rPr>
          <w:rFonts w:ascii="Calibri" w:hAnsi="Calibri"/>
          <w:b w:val="0"/>
          <w:i w:val="0"/>
          <w:sz w:val="22"/>
        </w:rPr>
        <w:t xml:space="preserve">Para Matus, el </w:t>
      </w:r>
      <w:r>
        <w:rPr>
          <w:rFonts w:ascii="Calibri" w:hAnsi="Calibri"/>
          <w:b/>
          <w:i w:val="0"/>
          <w:sz w:val="22"/>
        </w:rPr>
        <w:t>Cinturón de la Vida Cotidiana</w:t>
      </w:r>
      <w:r>
        <w:rPr>
          <w:rFonts w:ascii="Calibri" w:hAnsi="Calibri"/>
          <w:b w:val="0"/>
          <w:i w:val="0"/>
          <w:sz w:val="22"/>
        </w:rPr>
        <w:t xml:space="preserve"> es el más sensible de los tres: es donde el ciudadano valida o rechaza el proyecto de gobierno según su realidad inmediata. Si este cinturón se aprieta demasiado, la presión se traslada por vasos comunicantes al cinturón de la política, erosionando la gobernabilidad (y los votos). El cinturón mide condiciones objetivas (ingresos, servicios, seguridad) y tensión emergente (conflictividad, expectativas).</w:t>
      </w:r>
    </w:p>
    <w:p>
      <w:pPr>
        <w:pBdr>
          <w:bottom w:val="single" w:sz="6" w:space="4" w:color="3A8FC9"/>
        </w:pBdr>
        <w:spacing w:before="120" w:after="120"/>
      </w:pPr>
    </w:p>
    <w:p>
      <w:pPr>
        <w:spacing w:before="200" w:after="120"/>
      </w:pPr>
      <w:r>
        <w:rPr>
          <w:rFonts w:ascii="Calibri" w:hAnsi="Calibri"/>
          <w:b/>
          <w:color w:val="1E5F9E"/>
          <w:sz w:val="30"/>
        </w:rPr>
        <w:t>Propuesta de 15 indicadores — Estado de automatización</w:t>
      </w:r>
    </w:p>
    <w:p>
      <w:pPr>
        <w:spacing w:after="120"/>
      </w:pPr>
      <w:r>
        <w:rPr>
          <w:rFonts w:ascii="Calibri" w:hAnsi="Calibri"/>
          <w:b w:val="0"/>
          <w:i w:val="0"/>
          <w:sz w:val="22"/>
        </w:rPr>
        <w:t>Los 15 indicadores se organizan en 4 grupos según su impacto en la vida cotidiana.</w:t>
      </w:r>
    </w:p>
    <w:p>
      <w:pPr>
        <w:spacing w:after="120"/>
      </w:pPr>
      <w:r>
        <w:rPr>
          <w:rFonts w:ascii="Calibri" w:hAnsi="Calibri"/>
          <w:b w:val="0"/>
          <w:i w:val="0"/>
          <w:sz w:val="22"/>
        </w:rPr>
        <w:t>Cada uno incluye evaluación de factibilidad de automatización para el sistema CIGOB.</w:t>
      </w:r>
    </w:p>
    <w:p>
      <w:pPr>
        <w:pBdr>
          <w:bottom w:val="single" w:sz="6" w:space="4" w:color="3A8FC9"/>
        </w:pBdr>
        <w:spacing w:before="120" w:after="120"/>
      </w:pPr>
    </w:p>
    <w:p>
      <w:pPr>
        <w:spacing w:before="120" w:after="120"/>
      </w:pPr>
      <w:r>
        <w:rPr>
          <w:rFonts w:ascii="Calibri" w:hAnsi="Calibri"/>
          <w:b/>
          <w:color w:val="3A8FC9"/>
          <w:sz w:val="26"/>
        </w:rPr>
        <w:t>I. Bolsillo y Consumo — Presión Económica Directa</w:t>
      </w:r>
    </w:p>
    <w:tbl>
      <w:tblPr>
        <w:tblStyle w:val="TableGrid"/>
        <w:tblW w:type="auto" w:w="0"/>
        <w:jc w:val="left"/>
        <w:tblLook w:firstColumn="1" w:firstRow="1" w:lastColumn="0" w:lastRow="0" w:noHBand="0" w:noVBand="1" w:val="04A0"/>
      </w:tblPr>
      <w:tblGrid>
        <w:gridCol w:w="1455"/>
        <w:gridCol w:w="1455"/>
        <w:gridCol w:w="1455"/>
        <w:gridCol w:w="1455"/>
        <w:gridCol w:w="1455"/>
        <w:gridCol w:w="1455"/>
      </w:tblGrid>
      <w:tr>
        <w:tc>
          <w:tcPr>
            <w:tcW w:type="dxa" w:w="1455"/>
            <w:vAlign w:val="center"/>
            <w:shd w:val="clear" w:color="auto" w:fill="1E5F9E"/>
          </w:tcPr>
          <w:p>
            <w:pPr>
              <w:spacing w:before="80" w:after="80"/>
            </w:pPr>
            <w:r>
              <w:rPr>
                <w:rFonts w:ascii="Calibri" w:hAnsi="Calibri"/>
                <w:b/>
                <w:color w:val="FFFFFF"/>
                <w:sz w:val="20"/>
              </w:rPr>
              <w:t>#</w:t>
            </w:r>
          </w:p>
        </w:tc>
        <w:tc>
          <w:tcPr>
            <w:tcW w:type="dxa" w:w="1455"/>
            <w:vAlign w:val="center"/>
            <w:shd w:val="clear" w:color="auto" w:fill="1E5F9E"/>
          </w:tcPr>
          <w:p>
            <w:pPr>
              <w:spacing w:before="80" w:after="80"/>
            </w:pPr>
            <w:r>
              <w:rPr>
                <w:rFonts w:ascii="Calibri" w:hAnsi="Calibri"/>
                <w:b/>
                <w:color w:val="FFFFFF"/>
                <w:sz w:val="20"/>
              </w:rPr>
              <w:t>Indicador</w:t>
            </w:r>
          </w:p>
        </w:tc>
        <w:tc>
          <w:tcPr>
            <w:tcW w:type="dxa" w:w="1455"/>
            <w:vAlign w:val="center"/>
            <w:shd w:val="clear" w:color="auto" w:fill="1E5F9E"/>
          </w:tcPr>
          <w:p>
            <w:pPr>
              <w:spacing w:before="80" w:after="80"/>
            </w:pPr>
            <w:r>
              <w:rPr>
                <w:rFonts w:ascii="Calibri" w:hAnsi="Calibri"/>
                <w:b/>
                <w:color w:val="FFFFFF"/>
                <w:sz w:val="20"/>
              </w:rPr>
              <w:t>Construcción</w:t>
            </w:r>
          </w:p>
        </w:tc>
        <w:tc>
          <w:tcPr>
            <w:tcW w:type="dxa" w:w="1455"/>
            <w:vAlign w:val="center"/>
            <w:shd w:val="clear" w:color="auto" w:fill="1E5F9E"/>
          </w:tcPr>
          <w:p>
            <w:pPr>
              <w:spacing w:before="80" w:after="80"/>
            </w:pPr>
            <w:r>
              <w:rPr>
                <w:rFonts w:ascii="Calibri" w:hAnsi="Calibri"/>
                <w:b/>
                <w:color w:val="FFFFFF"/>
                <w:sz w:val="20"/>
              </w:rPr>
              <w:t>Fuente</w:t>
            </w:r>
          </w:p>
        </w:tc>
        <w:tc>
          <w:tcPr>
            <w:tcW w:type="dxa" w:w="1455"/>
            <w:vAlign w:val="center"/>
            <w:shd w:val="clear" w:color="auto" w:fill="1E5F9E"/>
          </w:tcPr>
          <w:p>
            <w:pPr>
              <w:spacing w:before="80" w:after="80"/>
            </w:pPr>
            <w:r>
              <w:rPr>
                <w:rFonts w:ascii="Calibri" w:hAnsi="Calibri"/>
                <w:b/>
                <w:color w:val="FFFFFF"/>
                <w:sz w:val="20"/>
              </w:rPr>
              <w:t>Automatizable</w:t>
            </w:r>
          </w:p>
        </w:tc>
        <w:tc>
          <w:tcPr>
            <w:tcW w:type="dxa" w:w="1455"/>
            <w:vAlign w:val="center"/>
            <w:shd w:val="clear" w:color="auto" w:fill="1E5F9E"/>
          </w:tcPr>
          <w:p>
            <w:pPr>
              <w:spacing w:before="80" w:after="80"/>
            </w:pPr>
            <w:r>
              <w:rPr>
                <w:rFonts w:ascii="Calibri" w:hAnsi="Calibri"/>
                <w:b/>
                <w:color w:val="FFFFFF"/>
                <w:sz w:val="20"/>
              </w:rPr>
              <w:t>Estado</w:t>
            </w:r>
          </w:p>
        </w:tc>
      </w:tr>
      <w:tr>
        <w:tc>
          <w:tcPr>
            <w:tcW w:type="dxa" w:w="1455"/>
            <w:vAlign w:val="center"/>
          </w:tcPr>
          <w:p>
            <w:pPr>
              <w:spacing w:before="60" w:after="60"/>
            </w:pPr>
            <w:r>
              <w:rPr>
                <w:rFonts w:ascii="Calibri" w:hAnsi="Calibri"/>
                <w:color w:val="1A233A"/>
                <w:sz w:val="19"/>
              </w:rPr>
              <w:t>1</w:t>
            </w:r>
          </w:p>
        </w:tc>
        <w:tc>
          <w:tcPr>
            <w:tcW w:type="dxa" w:w="1455"/>
            <w:vAlign w:val="center"/>
          </w:tcPr>
          <w:p>
            <w:pPr>
              <w:spacing w:before="60" w:after="60"/>
            </w:pPr>
            <w:r>
              <w:rPr>
                <w:rFonts w:ascii="Calibri" w:hAnsi="Calibri"/>
                <w:color w:val="1A233A"/>
                <w:sz w:val="19"/>
              </w:rPr>
              <w:t>Brecha Salario vs. CBT</w:t>
            </w:r>
          </w:p>
        </w:tc>
        <w:tc>
          <w:tcPr>
            <w:tcW w:type="dxa" w:w="1455"/>
            <w:vAlign w:val="center"/>
          </w:tcPr>
          <w:p>
            <w:pPr>
              <w:spacing w:before="60" w:after="60"/>
            </w:pPr>
            <w:r>
              <w:rPr>
                <w:rFonts w:ascii="Calibri" w:hAnsi="Calibri"/>
                <w:color w:val="1A233A"/>
                <w:sz w:val="19"/>
              </w:rPr>
              <w:t>% entre salario promedio (RIPTE) y Canasta Básica Total</w:t>
            </w:r>
          </w:p>
        </w:tc>
        <w:tc>
          <w:tcPr>
            <w:tcW w:type="dxa" w:w="1455"/>
            <w:vAlign w:val="center"/>
          </w:tcPr>
          <w:p>
            <w:pPr>
              <w:spacing w:before="60" w:after="60"/>
            </w:pPr>
            <w:r>
              <w:rPr>
                <w:rFonts w:ascii="Calibri" w:hAnsi="Calibri"/>
                <w:color w:val="1A233A"/>
                <w:sz w:val="19"/>
              </w:rPr>
              <w:t>INDEC (EPH + Canastas)</w:t>
            </w:r>
          </w:p>
        </w:tc>
        <w:tc>
          <w:tcPr>
            <w:tcW w:type="dxa" w:w="1455"/>
            <w:vAlign w:val="center"/>
          </w:tcPr>
          <w:p>
            <w:pPr>
              <w:spacing w:before="60" w:after="60"/>
            </w:pPr>
            <w:r>
              <w:rPr>
                <w:rFonts w:ascii="Calibri" w:hAnsi="Calibri"/>
                <w:color w:val="1A233A"/>
                <w:sz w:val="19"/>
              </w:rPr>
              <w:t>Sí — Tier 1</w:t>
            </w:r>
          </w:p>
        </w:tc>
        <w:tc>
          <w:tcPr>
            <w:tcW w:type="dxa" w:w="1455"/>
            <w:vAlign w:val="center"/>
          </w:tcPr>
          <w:p>
            <w:pPr>
              <w:spacing w:before="60" w:after="60"/>
            </w:pPr>
            <w:r>
              <w:rPr>
                <w:rFonts w:ascii="Calibri" w:hAnsi="Calibri"/>
                <w:color w:val="1A233A"/>
                <w:sz w:val="19"/>
              </w:rPr>
              <w:t>RIPTE: CSV directo. CBT: XLS FTP INDEC o serie API</w:t>
            </w:r>
          </w:p>
        </w:tc>
      </w:tr>
      <w:tr>
        <w:tc>
          <w:tcPr>
            <w:tcW w:type="dxa" w:w="1455"/>
            <w:vAlign w:val="center"/>
            <w:shd w:val="clear" w:color="auto" w:fill="EBF4FD"/>
          </w:tcPr>
          <w:p>
            <w:pPr>
              <w:spacing w:before="60" w:after="60"/>
            </w:pPr>
            <w:r>
              <w:rPr>
                <w:rFonts w:ascii="Calibri" w:hAnsi="Calibri"/>
                <w:color w:val="1A233A"/>
                <w:sz w:val="19"/>
              </w:rPr>
              <w:t>2</w:t>
            </w:r>
          </w:p>
        </w:tc>
        <w:tc>
          <w:tcPr>
            <w:tcW w:type="dxa" w:w="1455"/>
            <w:vAlign w:val="center"/>
            <w:shd w:val="clear" w:color="auto" w:fill="EBF4FD"/>
          </w:tcPr>
          <w:p>
            <w:pPr>
              <w:spacing w:before="60" w:after="60"/>
            </w:pPr>
            <w:r>
              <w:rPr>
                <w:rFonts w:ascii="Calibri" w:hAnsi="Calibri"/>
                <w:color w:val="1A233A"/>
                <w:sz w:val="19"/>
              </w:rPr>
              <w:t>IPC-Alimentos</w:t>
            </w:r>
          </w:p>
        </w:tc>
        <w:tc>
          <w:tcPr>
            <w:tcW w:type="dxa" w:w="1455"/>
            <w:vAlign w:val="center"/>
            <w:shd w:val="clear" w:color="auto" w:fill="EBF4FD"/>
          </w:tcPr>
          <w:p>
            <w:pPr>
              <w:spacing w:before="60" w:after="60"/>
            </w:pPr>
            <w:r>
              <w:rPr>
                <w:rFonts w:ascii="Calibri" w:hAnsi="Calibri"/>
                <w:color w:val="1A233A"/>
                <w:sz w:val="19"/>
              </w:rPr>
              <w:t>Variación mensual rubro "Alimentos y Bebidas no alcohólicas"</w:t>
            </w:r>
          </w:p>
        </w:tc>
        <w:tc>
          <w:tcPr>
            <w:tcW w:type="dxa" w:w="1455"/>
            <w:vAlign w:val="center"/>
            <w:shd w:val="clear" w:color="auto" w:fill="EBF4FD"/>
          </w:tcPr>
          <w:p>
            <w:pPr>
              <w:spacing w:before="60" w:after="60"/>
            </w:pPr>
            <w:r>
              <w:rPr>
                <w:rFonts w:ascii="Calibri" w:hAnsi="Calibri"/>
                <w:color w:val="1A233A"/>
                <w:sz w:val="19"/>
              </w:rPr>
              <w:t>INDEC IPC</w:t>
            </w:r>
          </w:p>
        </w:tc>
        <w:tc>
          <w:tcPr>
            <w:tcW w:type="dxa" w:w="1455"/>
            <w:vAlign w:val="center"/>
            <w:shd w:val="clear" w:color="auto" w:fill="EBF4FD"/>
          </w:tcPr>
          <w:p>
            <w:pPr>
              <w:spacing w:before="60" w:after="60"/>
            </w:pPr>
            <w:r>
              <w:rPr>
                <w:rFonts w:ascii="Calibri" w:hAnsi="Calibri"/>
                <w:color w:val="1A233A"/>
                <w:sz w:val="19"/>
              </w:rPr>
              <w:t>Sí — Tier 1</w:t>
            </w:r>
          </w:p>
        </w:tc>
        <w:tc>
          <w:tcPr>
            <w:tcW w:type="dxa" w:w="1455"/>
            <w:vAlign w:val="center"/>
            <w:shd w:val="clear" w:color="auto" w:fill="EBF4FD"/>
          </w:tcPr>
          <w:p>
            <w:pPr>
              <w:spacing w:before="60" w:after="60"/>
            </w:pPr>
            <w:r>
              <w:rPr>
                <w:rFonts w:ascii="Calibri" w:hAnsi="Calibri"/>
                <w:color w:val="1A233A"/>
                <w:sz w:val="19"/>
              </w:rPr>
              <w:t>Serie API: 146.3_IALIMENNAL_DICI_M_45. Verificada ✓</w:t>
            </w:r>
          </w:p>
        </w:tc>
      </w:tr>
      <w:tr>
        <w:tc>
          <w:tcPr>
            <w:tcW w:type="dxa" w:w="1455"/>
            <w:vAlign w:val="center"/>
          </w:tcPr>
          <w:p>
            <w:pPr>
              <w:spacing w:before="60" w:after="60"/>
            </w:pPr>
            <w:r>
              <w:rPr>
                <w:rFonts w:ascii="Calibri" w:hAnsi="Calibri"/>
                <w:color w:val="1A233A"/>
                <w:sz w:val="19"/>
              </w:rPr>
              <w:t>3</w:t>
            </w:r>
          </w:p>
        </w:tc>
        <w:tc>
          <w:tcPr>
            <w:tcW w:type="dxa" w:w="1455"/>
            <w:vAlign w:val="center"/>
          </w:tcPr>
          <w:p>
            <w:pPr>
              <w:spacing w:before="60" w:after="60"/>
            </w:pPr>
            <w:r>
              <w:rPr>
                <w:rFonts w:ascii="Calibri" w:hAnsi="Calibri"/>
                <w:color w:val="1A233A"/>
                <w:sz w:val="19"/>
              </w:rPr>
              <w:t>Endeudamiento Familiar</w:t>
            </w:r>
          </w:p>
        </w:tc>
        <w:tc>
          <w:tcPr>
            <w:tcW w:type="dxa" w:w="1455"/>
            <w:vAlign w:val="center"/>
          </w:tcPr>
          <w:p>
            <w:pPr>
              <w:spacing w:before="60" w:after="60"/>
            </w:pPr>
            <w:r>
              <w:rPr>
                <w:rFonts w:ascii="Calibri" w:hAnsi="Calibri"/>
                <w:color w:val="1A233A"/>
                <w:sz w:val="19"/>
              </w:rPr>
              <w:t>Saldo tarjeta de crédito + préstamos personales sobre ingreso disponible</w:t>
            </w:r>
          </w:p>
        </w:tc>
        <w:tc>
          <w:tcPr>
            <w:tcW w:type="dxa" w:w="1455"/>
            <w:vAlign w:val="center"/>
          </w:tcPr>
          <w:p>
            <w:pPr>
              <w:spacing w:before="60" w:after="60"/>
            </w:pPr>
            <w:r>
              <w:rPr>
                <w:rFonts w:ascii="Calibri" w:hAnsi="Calibri"/>
                <w:color w:val="1A233A"/>
                <w:sz w:val="19"/>
              </w:rPr>
              <w:t>BCRA API v4.0</w:t>
            </w:r>
          </w:p>
        </w:tc>
        <w:tc>
          <w:tcPr>
            <w:tcW w:type="dxa" w:w="1455"/>
            <w:vAlign w:val="center"/>
          </w:tcPr>
          <w:p>
            <w:pPr>
              <w:spacing w:before="60" w:after="60"/>
            </w:pPr>
            <w:r>
              <w:rPr>
                <w:rFonts w:ascii="Calibri" w:hAnsi="Calibri"/>
                <w:color w:val="1A233A"/>
                <w:sz w:val="19"/>
              </w:rPr>
              <w:t>Sí — Tier 1</w:t>
            </w:r>
          </w:p>
        </w:tc>
        <w:tc>
          <w:tcPr>
            <w:tcW w:type="dxa" w:w="1455"/>
            <w:vAlign w:val="center"/>
          </w:tcPr>
          <w:p>
            <w:pPr>
              <w:spacing w:before="60" w:after="60"/>
            </w:pPr>
            <w:r>
              <w:rPr>
                <w:rFonts w:ascii="Calibri" w:hAnsi="Calibri"/>
                <w:color w:val="1A233A"/>
                <w:sz w:val="19"/>
              </w:rPr>
              <w:t>Variables 114+115. API verificada ✓. Denominador: RIPTE</w:t>
            </w:r>
          </w:p>
        </w:tc>
      </w:tr>
      <w:tr>
        <w:tc>
          <w:tcPr>
            <w:tcW w:type="dxa" w:w="1455"/>
            <w:vAlign w:val="center"/>
            <w:shd w:val="clear" w:color="auto" w:fill="EBF4FD"/>
          </w:tcPr>
          <w:p>
            <w:pPr>
              <w:spacing w:before="60" w:after="60"/>
            </w:pPr>
            <w:r>
              <w:rPr>
                <w:rFonts w:ascii="Calibri" w:hAnsi="Calibri"/>
                <w:color w:val="1A233A"/>
                <w:sz w:val="19"/>
              </w:rPr>
              <w:t>4</w:t>
            </w:r>
          </w:p>
        </w:tc>
        <w:tc>
          <w:tcPr>
            <w:tcW w:type="dxa" w:w="1455"/>
            <w:vAlign w:val="center"/>
            <w:shd w:val="clear" w:color="auto" w:fill="EBF4FD"/>
          </w:tcPr>
          <w:p>
            <w:pPr>
              <w:spacing w:before="60" w:after="60"/>
            </w:pPr>
            <w:r>
              <w:rPr>
                <w:rFonts w:ascii="Calibri" w:hAnsi="Calibri"/>
                <w:color w:val="1A233A"/>
                <w:sz w:val="19"/>
              </w:rPr>
              <w:t>Peso de Tarifas</w:t>
            </w:r>
          </w:p>
        </w:tc>
        <w:tc>
          <w:tcPr>
            <w:tcW w:type="dxa" w:w="1455"/>
            <w:vAlign w:val="center"/>
            <w:shd w:val="clear" w:color="auto" w:fill="EBF4FD"/>
          </w:tcPr>
          <w:p>
            <w:pPr>
              <w:spacing w:before="60" w:after="60"/>
            </w:pPr>
            <w:r>
              <w:rPr>
                <w:rFonts w:ascii="Calibri" w:hAnsi="Calibri"/>
                <w:color w:val="1A233A"/>
                <w:sz w:val="19"/>
              </w:rPr>
              <w:t>Gasto en energía+gas+agua+transporte como % del ingreso neto</w:t>
            </w:r>
          </w:p>
        </w:tc>
        <w:tc>
          <w:tcPr>
            <w:tcW w:type="dxa" w:w="1455"/>
            <w:vAlign w:val="center"/>
            <w:shd w:val="clear" w:color="auto" w:fill="EBF4FD"/>
          </w:tcPr>
          <w:p>
            <w:pPr>
              <w:spacing w:before="60" w:after="60"/>
            </w:pPr>
            <w:r>
              <w:rPr>
                <w:rFonts w:ascii="Calibri" w:hAnsi="Calibri"/>
                <w:color w:val="1A233A"/>
                <w:sz w:val="19"/>
              </w:rPr>
              <w:t>ENRE / ENARGAS / entes reguladores</w:t>
            </w:r>
          </w:p>
        </w:tc>
        <w:tc>
          <w:tcPr>
            <w:tcW w:type="dxa" w:w="1455"/>
            <w:vAlign w:val="center"/>
            <w:shd w:val="clear" w:color="auto" w:fill="EBF4FD"/>
          </w:tcPr>
          <w:p>
            <w:pPr>
              <w:spacing w:before="60" w:after="60"/>
            </w:pPr>
            <w:r>
              <w:rPr>
                <w:rFonts w:ascii="Calibri" w:hAnsi="Calibri"/>
                <w:color w:val="1A233A"/>
                <w:sz w:val="19"/>
              </w:rPr>
              <w:t>Parcial — reemplazar</w:t>
            </w:r>
          </w:p>
        </w:tc>
        <w:tc>
          <w:tcPr>
            <w:tcW w:type="dxa" w:w="1455"/>
            <w:vAlign w:val="center"/>
            <w:shd w:val="clear" w:color="auto" w:fill="EBF4FD"/>
          </w:tcPr>
          <w:p>
            <w:pPr>
              <w:spacing w:before="60" w:after="60"/>
            </w:pPr>
            <w:r>
              <w:rPr>
                <w:rFonts w:ascii="Calibri" w:hAnsi="Calibri"/>
                <w:color w:val="1A233A"/>
                <w:sz w:val="19"/>
              </w:rPr>
              <w:t>Ver nota abajo</w:t>
            </w:r>
          </w:p>
        </w:tc>
      </w:tr>
      <w:tr>
        <w:tc>
          <w:tcPr>
            <w:tcW w:type="dxa" w:w="1455"/>
            <w:vAlign w:val="center"/>
          </w:tcPr>
          <w:p>
            <w:pPr>
              <w:spacing w:before="60" w:after="60"/>
            </w:pPr>
            <w:r>
              <w:rPr>
                <w:rFonts w:ascii="Calibri" w:hAnsi="Calibri"/>
                <w:color w:val="1A233A"/>
                <w:sz w:val="19"/>
              </w:rPr>
              <w:t>5</w:t>
            </w:r>
          </w:p>
        </w:tc>
        <w:tc>
          <w:tcPr>
            <w:tcW w:type="dxa" w:w="1455"/>
            <w:vAlign w:val="center"/>
          </w:tcPr>
          <w:p>
            <w:pPr>
              <w:spacing w:before="60" w:after="60"/>
            </w:pPr>
            <w:r>
              <w:rPr>
                <w:rFonts w:ascii="Calibri" w:hAnsi="Calibri"/>
                <w:color w:val="1A233A"/>
                <w:sz w:val="19"/>
              </w:rPr>
              <w:t>Consumo de Carne Vacuna</w:t>
            </w:r>
          </w:p>
        </w:tc>
        <w:tc>
          <w:tcPr>
            <w:tcW w:type="dxa" w:w="1455"/>
            <w:vAlign w:val="center"/>
          </w:tcPr>
          <w:p>
            <w:pPr>
              <w:spacing w:before="60" w:after="60"/>
            </w:pPr>
            <w:r>
              <w:rPr>
                <w:rFonts w:ascii="Calibri" w:hAnsi="Calibri"/>
                <w:color w:val="1A233A"/>
                <w:sz w:val="19"/>
              </w:rPr>
              <w:t>Consumo aparente per cápita anual (kg/habitante)</w:t>
            </w:r>
          </w:p>
        </w:tc>
        <w:tc>
          <w:tcPr>
            <w:tcW w:type="dxa" w:w="1455"/>
            <w:vAlign w:val="center"/>
          </w:tcPr>
          <w:p>
            <w:pPr>
              <w:spacing w:before="60" w:after="60"/>
            </w:pPr>
            <w:r>
              <w:rPr>
                <w:rFonts w:ascii="Calibri" w:hAnsi="Calibri"/>
                <w:color w:val="1A233A"/>
                <w:sz w:val="19"/>
              </w:rPr>
              <w:t>CICCRA</w:t>
            </w:r>
          </w:p>
        </w:tc>
        <w:tc>
          <w:tcPr>
            <w:tcW w:type="dxa" w:w="1455"/>
            <w:vAlign w:val="center"/>
          </w:tcPr>
          <w:p>
            <w:pPr>
              <w:spacing w:before="60" w:after="60"/>
            </w:pPr>
            <w:r>
              <w:rPr>
                <w:rFonts w:ascii="Calibri" w:hAnsi="Calibri"/>
                <w:color w:val="1A233A"/>
                <w:sz w:val="19"/>
              </w:rPr>
              <w:t>Pendiente verificar</w:t>
            </w:r>
          </w:p>
        </w:tc>
        <w:tc>
          <w:tcPr>
            <w:tcW w:type="dxa" w:w="1455"/>
            <w:vAlign w:val="center"/>
          </w:tcPr>
          <w:p>
            <w:pPr>
              <w:spacing w:before="60" w:after="60"/>
            </w:pPr>
            <w:r>
              <w:rPr>
                <w:rFonts w:ascii="Calibri" w:hAnsi="Calibri"/>
                <w:color w:val="1A233A"/>
                <w:sz w:val="19"/>
              </w:rPr>
              <w:t>ciccra.com.ar — PDF mensual, no investigado aún</w:t>
            </w:r>
          </w:p>
        </w:tc>
      </w:tr>
    </w:tbl>
    <w:p/>
    <w:p>
      <w:pPr>
        <w:spacing w:after="120"/>
      </w:pPr>
      <w:r>
        <w:rPr>
          <w:rFonts w:ascii="Calibri" w:hAnsi="Calibri"/>
          <w:b/>
          <w:i w:val="0"/>
          <w:sz w:val="22"/>
        </w:rPr>
        <w:t>Nota indicador #4 — Tarifas:</w:t>
      </w:r>
      <w:r>
        <w:rPr>
          <w:rFonts w:ascii="Calibri" w:hAnsi="Calibri"/>
          <w:b w:val="0"/>
          <w:i w:val="0"/>
          <w:sz w:val="22"/>
        </w:rPr>
        <w:t xml:space="preserve"> ENRE y ENARGAS no tienen API pública ni descarga estructurada. Las resoluciones tarifarias son PDFs irregulares. </w:t>
      </w:r>
      <w:r>
        <w:rPr>
          <w:rFonts w:ascii="Calibri" w:hAnsi="Calibri"/>
          <w:b/>
          <w:i w:val="0"/>
          <w:sz w:val="22"/>
        </w:rPr>
        <w:t>Alternativa recomendada</w:t>
      </w:r>
      <w:r>
        <w:rPr>
          <w:rFonts w:ascii="Calibri" w:hAnsi="Calibri"/>
          <w:b w:val="0"/>
          <w:i w:val="0"/>
          <w:sz w:val="22"/>
        </w:rPr>
        <w:t xml:space="preserve">: usar el rubro </w:t>
      </w:r>
      <w:r>
        <w:rPr>
          <w:rFonts w:ascii="Courier New" w:hAnsi="Courier New"/>
          <w:b w:val="0"/>
          <w:sz w:val="20"/>
        </w:rPr>
        <w:t>Vivienda, agua, electricidad y combustibles</w:t>
      </w:r>
      <w:r>
        <w:rPr>
          <w:rFonts w:ascii="Calibri" w:hAnsi="Calibri"/>
          <w:b w:val="0"/>
          <w:i w:val="0"/>
          <w:sz w:val="22"/>
        </w:rPr>
        <w:t xml:space="preserve"> del IPC INDEC (serie </w:t>
      </w:r>
      <w:r>
        <w:rPr>
          <w:rFonts w:ascii="Courier New" w:hAnsi="Courier New"/>
          <w:b w:val="0"/>
          <w:sz w:val="20"/>
        </w:rPr>
        <w:t>146.3_IVIVIENDNAL_DICI_M_XX</w:t>
      </w:r>
      <w:r>
        <w:rPr>
          <w:rFonts w:ascii="Calibri" w:hAnsi="Calibri"/>
          <w:b w:val="0"/>
          <w:i w:val="0"/>
          <w:sz w:val="22"/>
        </w:rPr>
        <w:t xml:space="preserve"> — buscar ID en catálogo). Es mensual, automatizable, y captura el impacto real de las tarifas en el índice de precios. Si se requiere el peso exacto en el ingreso, combinarlo con RIPTE como denominador.</w:t>
      </w:r>
    </w:p>
    <w:p>
      <w:pPr>
        <w:pBdr>
          <w:bottom w:val="single" w:sz="6" w:space="4" w:color="3A8FC9"/>
        </w:pBdr>
        <w:spacing w:before="120" w:after="120"/>
      </w:pPr>
    </w:p>
    <w:p>
      <w:pPr>
        <w:spacing w:before="120" w:after="120"/>
      </w:pPr>
      <w:r>
        <w:rPr>
          <w:rFonts w:ascii="Calibri" w:hAnsi="Calibri"/>
          <w:b/>
          <w:color w:val="3A8FC9"/>
          <w:sz w:val="26"/>
        </w:rPr>
        <w:t>II. Laborales y Productivos — Seguridad de Sustento</w:t>
      </w:r>
    </w:p>
    <w:tbl>
      <w:tblPr>
        <w:tblStyle w:val="TableGrid"/>
        <w:tblW w:type="auto" w:w="0"/>
        <w:jc w:val="left"/>
        <w:tblLook w:firstColumn="1" w:firstRow="1" w:lastColumn="0" w:lastRow="0" w:noHBand="0" w:noVBand="1" w:val="04A0"/>
      </w:tblPr>
      <w:tblGrid>
        <w:gridCol w:w="1455"/>
        <w:gridCol w:w="1455"/>
        <w:gridCol w:w="1455"/>
        <w:gridCol w:w="1455"/>
        <w:gridCol w:w="1455"/>
        <w:gridCol w:w="1455"/>
      </w:tblGrid>
      <w:tr>
        <w:tc>
          <w:tcPr>
            <w:tcW w:type="dxa" w:w="1455"/>
            <w:vAlign w:val="center"/>
            <w:shd w:val="clear" w:color="auto" w:fill="1E5F9E"/>
          </w:tcPr>
          <w:p>
            <w:pPr>
              <w:spacing w:before="80" w:after="80"/>
            </w:pPr>
            <w:r>
              <w:rPr>
                <w:rFonts w:ascii="Calibri" w:hAnsi="Calibri"/>
                <w:b/>
                <w:color w:val="FFFFFF"/>
                <w:sz w:val="20"/>
              </w:rPr>
              <w:t>#</w:t>
            </w:r>
          </w:p>
        </w:tc>
        <w:tc>
          <w:tcPr>
            <w:tcW w:type="dxa" w:w="1455"/>
            <w:vAlign w:val="center"/>
            <w:shd w:val="clear" w:color="auto" w:fill="1E5F9E"/>
          </w:tcPr>
          <w:p>
            <w:pPr>
              <w:spacing w:before="80" w:after="80"/>
            </w:pPr>
            <w:r>
              <w:rPr>
                <w:rFonts w:ascii="Calibri" w:hAnsi="Calibri"/>
                <w:b/>
                <w:color w:val="FFFFFF"/>
                <w:sz w:val="20"/>
              </w:rPr>
              <w:t>Indicador</w:t>
            </w:r>
          </w:p>
        </w:tc>
        <w:tc>
          <w:tcPr>
            <w:tcW w:type="dxa" w:w="1455"/>
            <w:vAlign w:val="center"/>
            <w:shd w:val="clear" w:color="auto" w:fill="1E5F9E"/>
          </w:tcPr>
          <w:p>
            <w:pPr>
              <w:spacing w:before="80" w:after="80"/>
            </w:pPr>
            <w:r>
              <w:rPr>
                <w:rFonts w:ascii="Calibri" w:hAnsi="Calibri"/>
                <w:b/>
                <w:color w:val="FFFFFF"/>
                <w:sz w:val="20"/>
              </w:rPr>
              <w:t>Construcción</w:t>
            </w:r>
          </w:p>
        </w:tc>
        <w:tc>
          <w:tcPr>
            <w:tcW w:type="dxa" w:w="1455"/>
            <w:vAlign w:val="center"/>
            <w:shd w:val="clear" w:color="auto" w:fill="1E5F9E"/>
          </w:tcPr>
          <w:p>
            <w:pPr>
              <w:spacing w:before="80" w:after="80"/>
            </w:pPr>
            <w:r>
              <w:rPr>
                <w:rFonts w:ascii="Calibri" w:hAnsi="Calibri"/>
                <w:b/>
                <w:color w:val="FFFFFF"/>
                <w:sz w:val="20"/>
              </w:rPr>
              <w:t>Fuente</w:t>
            </w:r>
          </w:p>
        </w:tc>
        <w:tc>
          <w:tcPr>
            <w:tcW w:type="dxa" w:w="1455"/>
            <w:vAlign w:val="center"/>
            <w:shd w:val="clear" w:color="auto" w:fill="1E5F9E"/>
          </w:tcPr>
          <w:p>
            <w:pPr>
              <w:spacing w:before="80" w:after="80"/>
            </w:pPr>
            <w:r>
              <w:rPr>
                <w:rFonts w:ascii="Calibri" w:hAnsi="Calibri"/>
                <w:b/>
                <w:color w:val="FFFFFF"/>
                <w:sz w:val="20"/>
              </w:rPr>
              <w:t>Automatizable</w:t>
            </w:r>
          </w:p>
        </w:tc>
        <w:tc>
          <w:tcPr>
            <w:tcW w:type="dxa" w:w="1455"/>
            <w:vAlign w:val="center"/>
            <w:shd w:val="clear" w:color="auto" w:fill="1E5F9E"/>
          </w:tcPr>
          <w:p>
            <w:pPr>
              <w:spacing w:before="80" w:after="80"/>
            </w:pPr>
            <w:r>
              <w:rPr>
                <w:rFonts w:ascii="Calibri" w:hAnsi="Calibri"/>
                <w:b/>
                <w:color w:val="FFFFFF"/>
                <w:sz w:val="20"/>
              </w:rPr>
              <w:t>Estado</w:t>
            </w:r>
          </w:p>
        </w:tc>
      </w:tr>
      <w:tr>
        <w:tc>
          <w:tcPr>
            <w:tcW w:type="dxa" w:w="1455"/>
            <w:vAlign w:val="center"/>
          </w:tcPr>
          <w:p>
            <w:pPr>
              <w:spacing w:before="60" w:after="60"/>
            </w:pPr>
            <w:r>
              <w:rPr>
                <w:rFonts w:ascii="Calibri" w:hAnsi="Calibri"/>
                <w:color w:val="1A233A"/>
                <w:sz w:val="19"/>
              </w:rPr>
              <w:t>6</w:t>
            </w:r>
          </w:p>
        </w:tc>
        <w:tc>
          <w:tcPr>
            <w:tcW w:type="dxa" w:w="1455"/>
            <w:vAlign w:val="center"/>
          </w:tcPr>
          <w:p>
            <w:pPr>
              <w:spacing w:before="60" w:after="60"/>
            </w:pPr>
            <w:r>
              <w:rPr>
                <w:rFonts w:ascii="Calibri" w:hAnsi="Calibri"/>
                <w:color w:val="1A233A"/>
                <w:sz w:val="19"/>
              </w:rPr>
              <w:t>Informalidad Laboral</w:t>
            </w:r>
          </w:p>
        </w:tc>
        <w:tc>
          <w:tcPr>
            <w:tcW w:type="dxa" w:w="1455"/>
            <w:vAlign w:val="center"/>
          </w:tcPr>
          <w:p>
            <w:pPr>
              <w:spacing w:before="60" w:after="60"/>
            </w:pPr>
            <w:r>
              <w:rPr>
                <w:rFonts w:ascii="Calibri" w:hAnsi="Calibri"/>
                <w:color w:val="1A233A"/>
                <w:sz w:val="19"/>
              </w:rPr>
              <w:t>% ocupados sin aportes jubilatorios ni obra social</w:t>
            </w:r>
          </w:p>
        </w:tc>
        <w:tc>
          <w:tcPr>
            <w:tcW w:type="dxa" w:w="1455"/>
            <w:vAlign w:val="center"/>
          </w:tcPr>
          <w:p>
            <w:pPr>
              <w:spacing w:before="60" w:after="60"/>
            </w:pPr>
            <w:r>
              <w:rPr>
                <w:rFonts w:ascii="Calibri" w:hAnsi="Calibri"/>
                <w:color w:val="1A233A"/>
                <w:sz w:val="19"/>
              </w:rPr>
              <w:t>INDEC EPH</w:t>
            </w:r>
          </w:p>
        </w:tc>
        <w:tc>
          <w:tcPr>
            <w:tcW w:type="dxa" w:w="1455"/>
            <w:vAlign w:val="center"/>
          </w:tcPr>
          <w:p>
            <w:pPr>
              <w:spacing w:before="60" w:after="60"/>
            </w:pPr>
            <w:r>
              <w:rPr>
                <w:rFonts w:ascii="Calibri" w:hAnsi="Calibri"/>
                <w:color w:val="1A233A"/>
                <w:sz w:val="19"/>
              </w:rPr>
              <w:t>Sí — Tier 1</w:t>
            </w:r>
          </w:p>
        </w:tc>
        <w:tc>
          <w:tcPr>
            <w:tcW w:type="dxa" w:w="1455"/>
            <w:vAlign w:val="center"/>
          </w:tcPr>
          <w:p>
            <w:pPr>
              <w:spacing w:before="60" w:after="60"/>
            </w:pPr>
            <w:r>
              <w:rPr>
                <w:rFonts w:ascii="Calibri" w:hAnsi="Calibri"/>
                <w:color w:val="1A233A"/>
                <w:sz w:val="19"/>
              </w:rPr>
              <w:t>Serie sintética en datos.gob.ar (buscar "empleo no registrado")</w:t>
            </w:r>
          </w:p>
        </w:tc>
      </w:tr>
      <w:tr>
        <w:tc>
          <w:tcPr>
            <w:tcW w:type="dxa" w:w="1455"/>
            <w:vAlign w:val="center"/>
            <w:shd w:val="clear" w:color="auto" w:fill="EBF4FD"/>
          </w:tcPr>
          <w:p>
            <w:pPr>
              <w:spacing w:before="60" w:after="60"/>
            </w:pPr>
            <w:r>
              <w:rPr>
                <w:rFonts w:ascii="Calibri" w:hAnsi="Calibri"/>
                <w:color w:val="1A233A"/>
                <w:sz w:val="19"/>
              </w:rPr>
              <w:t>7</w:t>
            </w:r>
          </w:p>
        </w:tc>
        <w:tc>
          <w:tcPr>
            <w:tcW w:type="dxa" w:w="1455"/>
            <w:vAlign w:val="center"/>
            <w:shd w:val="clear" w:color="auto" w:fill="EBF4FD"/>
          </w:tcPr>
          <w:p>
            <w:pPr>
              <w:spacing w:before="60" w:after="60"/>
            </w:pPr>
            <w:r>
              <w:rPr>
                <w:rFonts w:ascii="Calibri" w:hAnsi="Calibri"/>
                <w:color w:val="1A233A"/>
                <w:sz w:val="19"/>
              </w:rPr>
              <w:t>Mortalidad de PyMEs</w:t>
            </w:r>
          </w:p>
        </w:tc>
        <w:tc>
          <w:tcPr>
            <w:tcW w:type="dxa" w:w="1455"/>
            <w:vAlign w:val="center"/>
            <w:shd w:val="clear" w:color="auto" w:fill="EBF4FD"/>
          </w:tcPr>
          <w:p>
            <w:pPr>
              <w:spacing w:before="60" w:after="60"/>
            </w:pPr>
            <w:r>
              <w:rPr>
                <w:rFonts w:ascii="Calibri" w:hAnsi="Calibri"/>
                <w:color w:val="1A233A"/>
                <w:sz w:val="19"/>
              </w:rPr>
              <w:t>Bajas netas de CUITs comerciales/servicios mensuales</w:t>
            </w:r>
          </w:p>
        </w:tc>
        <w:tc>
          <w:tcPr>
            <w:tcW w:type="dxa" w:w="1455"/>
            <w:vAlign w:val="center"/>
            <w:shd w:val="clear" w:color="auto" w:fill="EBF4FD"/>
          </w:tcPr>
          <w:p>
            <w:pPr>
              <w:spacing w:before="60" w:after="60"/>
            </w:pPr>
            <w:r>
              <w:rPr>
                <w:rFonts w:ascii="Calibri" w:hAnsi="Calibri"/>
                <w:color w:val="1A233A"/>
                <w:sz w:val="19"/>
              </w:rPr>
              <w:t>AFIP + CAME</w:t>
            </w:r>
          </w:p>
        </w:tc>
        <w:tc>
          <w:tcPr>
            <w:tcW w:type="dxa" w:w="1455"/>
            <w:vAlign w:val="center"/>
            <w:shd w:val="clear" w:color="auto" w:fill="EBF4FD"/>
          </w:tcPr>
          <w:p>
            <w:pPr>
              <w:spacing w:before="60" w:after="60"/>
            </w:pPr>
            <w:r>
              <w:rPr>
                <w:rFonts w:ascii="Calibri" w:hAnsi="Calibri"/>
                <w:color w:val="1A233A"/>
                <w:sz w:val="19"/>
              </w:rPr>
              <w:t>No disponible — reemplazar</w:t>
            </w:r>
          </w:p>
        </w:tc>
        <w:tc>
          <w:tcPr>
            <w:tcW w:type="dxa" w:w="1455"/>
            <w:vAlign w:val="center"/>
            <w:shd w:val="clear" w:color="auto" w:fill="EBF4FD"/>
          </w:tcPr>
          <w:p>
            <w:pPr>
              <w:spacing w:before="60" w:after="60"/>
            </w:pPr>
            <w:r>
              <w:rPr>
                <w:rFonts w:ascii="Calibri" w:hAnsi="Calibri"/>
                <w:color w:val="1A233A"/>
                <w:sz w:val="19"/>
              </w:rPr>
              <w:t>Ver nota abajo</w:t>
            </w:r>
          </w:p>
        </w:tc>
      </w:tr>
      <w:tr>
        <w:tc>
          <w:tcPr>
            <w:tcW w:type="dxa" w:w="1455"/>
            <w:vAlign w:val="center"/>
          </w:tcPr>
          <w:p>
            <w:pPr>
              <w:spacing w:before="60" w:after="60"/>
            </w:pPr>
            <w:r>
              <w:rPr>
                <w:rFonts w:ascii="Calibri" w:hAnsi="Calibri"/>
                <w:color w:val="1A233A"/>
                <w:sz w:val="19"/>
              </w:rPr>
              <w:t>8</w:t>
            </w:r>
          </w:p>
        </w:tc>
        <w:tc>
          <w:tcPr>
            <w:tcW w:type="dxa" w:w="1455"/>
            <w:vAlign w:val="center"/>
          </w:tcPr>
          <w:p>
            <w:pPr>
              <w:spacing w:before="60" w:after="60"/>
            </w:pPr>
            <w:r>
              <w:rPr>
                <w:rFonts w:ascii="Calibri" w:hAnsi="Calibri"/>
                <w:color w:val="1A233A"/>
                <w:sz w:val="19"/>
              </w:rPr>
              <w:t>Despacho de Cemento/Hierro</w:t>
            </w:r>
          </w:p>
        </w:tc>
        <w:tc>
          <w:tcPr>
            <w:tcW w:type="dxa" w:w="1455"/>
            <w:vAlign w:val="center"/>
          </w:tcPr>
          <w:p>
            <w:pPr>
              <w:spacing w:before="60" w:after="60"/>
            </w:pPr>
            <w:r>
              <w:rPr>
                <w:rFonts w:ascii="Calibri" w:hAnsi="Calibri"/>
                <w:color w:val="1A233A"/>
                <w:sz w:val="19"/>
              </w:rPr>
              <w:t>Variación mensual de despachos de insumos para construcción privada</w:t>
            </w:r>
          </w:p>
        </w:tc>
        <w:tc>
          <w:tcPr>
            <w:tcW w:type="dxa" w:w="1455"/>
            <w:vAlign w:val="center"/>
          </w:tcPr>
          <w:p>
            <w:pPr>
              <w:spacing w:before="60" w:after="60"/>
            </w:pPr>
            <w:r>
              <w:rPr>
                <w:rFonts w:ascii="Calibri" w:hAnsi="Calibri"/>
                <w:color w:val="1A233A"/>
                <w:sz w:val="19"/>
              </w:rPr>
              <w:t>AFCP + Cámara del Acero</w:t>
            </w:r>
          </w:p>
        </w:tc>
        <w:tc>
          <w:tcPr>
            <w:tcW w:type="dxa" w:w="1455"/>
            <w:vAlign w:val="center"/>
          </w:tcPr>
          <w:p>
            <w:pPr>
              <w:spacing w:before="60" w:after="60"/>
            </w:pPr>
            <w:r>
              <w:rPr>
                <w:rFonts w:ascii="Calibri" w:hAnsi="Calibri"/>
                <w:color w:val="1A233A"/>
                <w:sz w:val="19"/>
              </w:rPr>
              <w:t>Parcial — Tier 2</w:t>
            </w:r>
          </w:p>
        </w:tc>
        <w:tc>
          <w:tcPr>
            <w:tcW w:type="dxa" w:w="1455"/>
            <w:vAlign w:val="center"/>
          </w:tcPr>
          <w:p>
            <w:pPr>
              <w:spacing w:before="60" w:after="60"/>
            </w:pPr>
            <w:r>
              <w:rPr>
                <w:rFonts w:ascii="Calibri" w:hAnsi="Calibri"/>
                <w:color w:val="1A233A"/>
                <w:sz w:val="19"/>
              </w:rPr>
              <w:t>AFCP: PDFs con hashes opacos (complejo). Usar ISAC INDEC como proxy. Hierro: Cámara del Acero no investigada</w:t>
            </w:r>
          </w:p>
        </w:tc>
      </w:tr>
      <w:tr>
        <w:tc>
          <w:tcPr>
            <w:tcW w:type="dxa" w:w="1455"/>
            <w:vAlign w:val="center"/>
            <w:shd w:val="clear" w:color="auto" w:fill="EBF4FD"/>
          </w:tcPr>
          <w:p>
            <w:pPr>
              <w:spacing w:before="60" w:after="60"/>
            </w:pPr>
            <w:r>
              <w:rPr>
                <w:rFonts w:ascii="Calibri" w:hAnsi="Calibri"/>
                <w:color w:val="1A233A"/>
                <w:sz w:val="19"/>
              </w:rPr>
              <w:t>9</w:t>
            </w:r>
          </w:p>
        </w:tc>
        <w:tc>
          <w:tcPr>
            <w:tcW w:type="dxa" w:w="1455"/>
            <w:vAlign w:val="center"/>
            <w:shd w:val="clear" w:color="auto" w:fill="EBF4FD"/>
          </w:tcPr>
          <w:p>
            <w:pPr>
              <w:spacing w:before="60" w:after="60"/>
            </w:pPr>
            <w:r>
              <w:rPr>
                <w:rFonts w:ascii="Calibri" w:hAnsi="Calibri"/>
                <w:color w:val="1A233A"/>
                <w:sz w:val="19"/>
              </w:rPr>
              <w:t>Tasa de Pluriempleo</w:t>
            </w:r>
          </w:p>
        </w:tc>
        <w:tc>
          <w:tcPr>
            <w:tcW w:type="dxa" w:w="1455"/>
            <w:vAlign w:val="center"/>
            <w:shd w:val="clear" w:color="auto" w:fill="EBF4FD"/>
          </w:tcPr>
          <w:p>
            <w:pPr>
              <w:spacing w:before="60" w:after="60"/>
            </w:pPr>
            <w:r>
              <w:rPr>
                <w:rFonts w:ascii="Calibri" w:hAnsi="Calibri"/>
                <w:color w:val="1A233A"/>
                <w:sz w:val="19"/>
              </w:rPr>
              <w:t>Proporción de ocupados con más de una ocupación</w:t>
            </w:r>
          </w:p>
        </w:tc>
        <w:tc>
          <w:tcPr>
            <w:tcW w:type="dxa" w:w="1455"/>
            <w:vAlign w:val="center"/>
            <w:shd w:val="clear" w:color="auto" w:fill="EBF4FD"/>
          </w:tcPr>
          <w:p>
            <w:pPr>
              <w:spacing w:before="60" w:after="60"/>
            </w:pPr>
            <w:r>
              <w:rPr>
                <w:rFonts w:ascii="Calibri" w:hAnsi="Calibri"/>
                <w:color w:val="1A233A"/>
                <w:sz w:val="19"/>
              </w:rPr>
              <w:t>INDEC EPH microdatos</w:t>
            </w:r>
          </w:p>
        </w:tc>
        <w:tc>
          <w:tcPr>
            <w:tcW w:type="dxa" w:w="1455"/>
            <w:vAlign w:val="center"/>
            <w:shd w:val="clear" w:color="auto" w:fill="EBF4FD"/>
          </w:tcPr>
          <w:p>
            <w:pPr>
              <w:spacing w:before="60" w:after="60"/>
            </w:pPr>
            <w:r>
              <w:rPr>
                <w:rFonts w:ascii="Calibri" w:hAnsi="Calibri"/>
                <w:color w:val="1A233A"/>
                <w:sz w:val="19"/>
              </w:rPr>
              <w:t>Manual — Tier 3</w:t>
            </w:r>
          </w:p>
        </w:tc>
        <w:tc>
          <w:tcPr>
            <w:tcW w:type="dxa" w:w="1455"/>
            <w:vAlign w:val="center"/>
            <w:shd w:val="clear" w:color="auto" w:fill="EBF4FD"/>
          </w:tcPr>
          <w:p>
            <w:pPr>
              <w:spacing w:before="60" w:after="60"/>
            </w:pPr>
            <w:r>
              <w:rPr>
                <w:rFonts w:ascii="Calibri" w:hAnsi="Calibri"/>
                <w:color w:val="1A233A"/>
                <w:sz w:val="19"/>
              </w:rPr>
              <w:t>No en serie sintética pública. Requiere descargar base EPH trimestral y procesar variable de multiocupación</w:t>
            </w:r>
          </w:p>
        </w:tc>
      </w:tr>
    </w:tbl>
    <w:p/>
    <w:p>
      <w:pPr>
        <w:spacing w:after="120"/>
      </w:pPr>
      <w:r>
        <w:rPr>
          <w:rFonts w:ascii="Calibri" w:hAnsi="Calibri"/>
          <w:b/>
          <w:i w:val="0"/>
          <w:sz w:val="22"/>
        </w:rPr>
        <w:t>Nota indicador #7 — Mortalidad PyMEs:</w:t>
      </w:r>
      <w:r>
        <w:rPr>
          <w:rFonts w:ascii="Calibri" w:hAnsi="Calibri"/>
          <w:b w:val="0"/>
          <w:i w:val="0"/>
          <w:sz w:val="22"/>
        </w:rPr>
        <w:t xml:space="preserve"> AFIP no publica microdatos de altas/bajas de CUIT. </w:t>
      </w:r>
      <w:r>
        <w:rPr>
          <w:rFonts w:ascii="Calibri" w:hAnsi="Calibri"/>
          <w:b/>
          <w:i w:val="0"/>
          <w:sz w:val="22"/>
        </w:rPr>
        <w:t>Alternativa recomendada</w:t>
      </w:r>
      <w:r>
        <w:rPr>
          <w:rFonts w:ascii="Calibri" w:hAnsi="Calibri"/>
          <w:b w:val="0"/>
          <w:i w:val="0"/>
          <w:sz w:val="22"/>
        </w:rPr>
        <w:t xml:space="preserve">: CAME publica mensualmente el </w:t>
      </w:r>
      <w:r>
        <w:rPr>
          <w:rFonts w:ascii="Courier New" w:hAnsi="Courier New"/>
          <w:b w:val="0"/>
          <w:sz w:val="20"/>
        </w:rPr>
        <w:t>Índice de Producción Industrial PyME</w:t>
      </w:r>
      <w:r>
        <w:rPr>
          <w:rFonts w:ascii="Calibri" w:hAnsi="Calibri"/>
          <w:b w:val="0"/>
          <w:i w:val="0"/>
          <w:sz w:val="22"/>
        </w:rPr>
        <w:t xml:space="preserve"> (IPIP) y el </w:t>
      </w:r>
      <w:r>
        <w:rPr>
          <w:rFonts w:ascii="Courier New" w:hAnsi="Courier New"/>
          <w:b w:val="0"/>
          <w:sz w:val="20"/>
        </w:rPr>
        <w:t>Índice de Actividad Comercial PyME</w:t>
      </w:r>
      <w:r>
        <w:rPr>
          <w:rFonts w:ascii="Calibri" w:hAnsi="Calibri"/>
          <w:b w:val="0"/>
          <w:i w:val="0"/>
          <w:sz w:val="22"/>
        </w:rPr>
        <w:t>. No mide cierre (mortalidad) sino actividad, pero captura el mismo fenómeno de contracción. Agregar a la pestaña con ese nombre más preciso.</w:t>
      </w:r>
    </w:p>
    <w:p>
      <w:pPr>
        <w:pBdr>
          <w:bottom w:val="single" w:sz="6" w:space="4" w:color="3A8FC9"/>
        </w:pBdr>
        <w:spacing w:before="120" w:after="120"/>
      </w:pPr>
    </w:p>
    <w:p>
      <w:pPr>
        <w:spacing w:before="120" w:after="120"/>
      </w:pPr>
      <w:r>
        <w:rPr>
          <w:rFonts w:ascii="Calibri" w:hAnsi="Calibri"/>
          <w:b/>
          <w:color w:val="3A8FC9"/>
          <w:sz w:val="26"/>
        </w:rPr>
        <w:t>III. Servicios y Bienestar — Calidad de Vida</w:t>
      </w:r>
    </w:p>
    <w:tbl>
      <w:tblPr>
        <w:tblStyle w:val="TableGrid"/>
        <w:tblW w:type="auto" w:w="0"/>
        <w:jc w:val="left"/>
        <w:tblLook w:firstColumn="1" w:firstRow="1" w:lastColumn="0" w:lastRow="0" w:noHBand="0" w:noVBand="1" w:val="04A0"/>
      </w:tblPr>
      <w:tblGrid>
        <w:gridCol w:w="1455"/>
        <w:gridCol w:w="1455"/>
        <w:gridCol w:w="1455"/>
        <w:gridCol w:w="1455"/>
        <w:gridCol w:w="1455"/>
        <w:gridCol w:w="1455"/>
      </w:tblGrid>
      <w:tr>
        <w:tc>
          <w:tcPr>
            <w:tcW w:type="dxa" w:w="1455"/>
            <w:vAlign w:val="center"/>
            <w:shd w:val="clear" w:color="auto" w:fill="1E5F9E"/>
          </w:tcPr>
          <w:p>
            <w:pPr>
              <w:spacing w:before="80" w:after="80"/>
            </w:pPr>
            <w:r>
              <w:rPr>
                <w:rFonts w:ascii="Calibri" w:hAnsi="Calibri"/>
                <w:b/>
                <w:color w:val="FFFFFF"/>
                <w:sz w:val="20"/>
              </w:rPr>
              <w:t>#</w:t>
            </w:r>
          </w:p>
        </w:tc>
        <w:tc>
          <w:tcPr>
            <w:tcW w:type="dxa" w:w="1455"/>
            <w:vAlign w:val="center"/>
            <w:shd w:val="clear" w:color="auto" w:fill="1E5F9E"/>
          </w:tcPr>
          <w:p>
            <w:pPr>
              <w:spacing w:before="80" w:after="80"/>
            </w:pPr>
            <w:r>
              <w:rPr>
                <w:rFonts w:ascii="Calibri" w:hAnsi="Calibri"/>
                <w:b/>
                <w:color w:val="FFFFFF"/>
                <w:sz w:val="20"/>
              </w:rPr>
              <w:t>Indicador</w:t>
            </w:r>
          </w:p>
        </w:tc>
        <w:tc>
          <w:tcPr>
            <w:tcW w:type="dxa" w:w="1455"/>
            <w:vAlign w:val="center"/>
            <w:shd w:val="clear" w:color="auto" w:fill="1E5F9E"/>
          </w:tcPr>
          <w:p>
            <w:pPr>
              <w:spacing w:before="80" w:after="80"/>
            </w:pPr>
            <w:r>
              <w:rPr>
                <w:rFonts w:ascii="Calibri" w:hAnsi="Calibri"/>
                <w:b/>
                <w:color w:val="FFFFFF"/>
                <w:sz w:val="20"/>
              </w:rPr>
              <w:t>Construcción</w:t>
            </w:r>
          </w:p>
        </w:tc>
        <w:tc>
          <w:tcPr>
            <w:tcW w:type="dxa" w:w="1455"/>
            <w:vAlign w:val="center"/>
            <w:shd w:val="clear" w:color="auto" w:fill="1E5F9E"/>
          </w:tcPr>
          <w:p>
            <w:pPr>
              <w:spacing w:before="80" w:after="80"/>
            </w:pPr>
            <w:r>
              <w:rPr>
                <w:rFonts w:ascii="Calibri" w:hAnsi="Calibri"/>
                <w:b/>
                <w:color w:val="FFFFFF"/>
                <w:sz w:val="20"/>
              </w:rPr>
              <w:t>Fuente</w:t>
            </w:r>
          </w:p>
        </w:tc>
        <w:tc>
          <w:tcPr>
            <w:tcW w:type="dxa" w:w="1455"/>
            <w:vAlign w:val="center"/>
            <w:shd w:val="clear" w:color="auto" w:fill="1E5F9E"/>
          </w:tcPr>
          <w:p>
            <w:pPr>
              <w:spacing w:before="80" w:after="80"/>
            </w:pPr>
            <w:r>
              <w:rPr>
                <w:rFonts w:ascii="Calibri" w:hAnsi="Calibri"/>
                <w:b/>
                <w:color w:val="FFFFFF"/>
                <w:sz w:val="20"/>
              </w:rPr>
              <w:t>Automatizable</w:t>
            </w:r>
          </w:p>
        </w:tc>
        <w:tc>
          <w:tcPr>
            <w:tcW w:type="dxa" w:w="1455"/>
            <w:vAlign w:val="center"/>
            <w:shd w:val="clear" w:color="auto" w:fill="1E5F9E"/>
          </w:tcPr>
          <w:p>
            <w:pPr>
              <w:spacing w:before="80" w:after="80"/>
            </w:pPr>
            <w:r>
              <w:rPr>
                <w:rFonts w:ascii="Calibri" w:hAnsi="Calibri"/>
                <w:b/>
                <w:color w:val="FFFFFF"/>
                <w:sz w:val="20"/>
              </w:rPr>
              <w:t>Estado</w:t>
            </w:r>
          </w:p>
        </w:tc>
      </w:tr>
      <w:tr>
        <w:tc>
          <w:tcPr>
            <w:tcW w:type="dxa" w:w="1455"/>
            <w:vAlign w:val="center"/>
          </w:tcPr>
          <w:p>
            <w:pPr>
              <w:spacing w:before="60" w:after="60"/>
            </w:pPr>
            <w:r>
              <w:rPr>
                <w:rFonts w:ascii="Calibri" w:hAnsi="Calibri"/>
                <w:color w:val="1A233A"/>
                <w:sz w:val="19"/>
              </w:rPr>
              <w:t>10</w:t>
            </w:r>
          </w:p>
        </w:tc>
        <w:tc>
          <w:tcPr>
            <w:tcW w:type="dxa" w:w="1455"/>
            <w:vAlign w:val="center"/>
          </w:tcPr>
          <w:p>
            <w:pPr>
              <w:spacing w:before="60" w:after="60"/>
            </w:pPr>
            <w:r>
              <w:rPr>
                <w:rFonts w:ascii="Calibri" w:hAnsi="Calibri"/>
                <w:color w:val="1A233A"/>
                <w:sz w:val="19"/>
              </w:rPr>
              <w:t>Deserción Escolar</w:t>
            </w:r>
          </w:p>
        </w:tc>
        <w:tc>
          <w:tcPr>
            <w:tcW w:type="dxa" w:w="1455"/>
            <w:vAlign w:val="center"/>
          </w:tcPr>
          <w:p>
            <w:pPr>
              <w:spacing w:before="60" w:after="60"/>
            </w:pPr>
            <w:r>
              <w:rPr>
                <w:rFonts w:ascii="Calibri" w:hAnsi="Calibri"/>
                <w:color w:val="1A233A"/>
                <w:sz w:val="19"/>
              </w:rPr>
              <w:t>Variación interanual matrícula secundaria en zonas vulnerables</w:t>
            </w:r>
          </w:p>
        </w:tc>
        <w:tc>
          <w:tcPr>
            <w:tcW w:type="dxa" w:w="1455"/>
            <w:vAlign w:val="center"/>
          </w:tcPr>
          <w:p>
            <w:pPr>
              <w:spacing w:before="60" w:after="60"/>
            </w:pPr>
            <w:r>
              <w:rPr>
                <w:rFonts w:ascii="Calibri" w:hAnsi="Calibri"/>
                <w:color w:val="1A233A"/>
                <w:sz w:val="19"/>
              </w:rPr>
              <w:t>Ministerio de Educación (Relevamiento Anual)</w:t>
            </w:r>
          </w:p>
        </w:tc>
        <w:tc>
          <w:tcPr>
            <w:tcW w:type="dxa" w:w="1455"/>
            <w:vAlign w:val="center"/>
          </w:tcPr>
          <w:p>
            <w:pPr>
              <w:spacing w:before="60" w:after="60"/>
            </w:pPr>
            <w:r>
              <w:rPr>
                <w:rFonts w:ascii="Calibri" w:hAnsi="Calibri"/>
                <w:color w:val="1A233A"/>
                <w:sz w:val="19"/>
              </w:rPr>
              <w:t>Manual — Tier 3 / Anual</w:t>
            </w:r>
          </w:p>
        </w:tc>
        <w:tc>
          <w:tcPr>
            <w:tcW w:type="dxa" w:w="1455"/>
            <w:vAlign w:val="center"/>
          </w:tcPr>
          <w:p>
            <w:pPr>
              <w:spacing w:before="60" w:after="60"/>
            </w:pPr>
            <w:r>
              <w:rPr>
                <w:rFonts w:ascii="Calibri" w:hAnsi="Calibri"/>
                <w:color w:val="1A233A"/>
                <w:sz w:val="19"/>
              </w:rPr>
              <w:t>Datos anuales con 1 año de rezago. No mensualizable. Usar como indicador estructural</w:t>
            </w:r>
          </w:p>
        </w:tc>
      </w:tr>
      <w:tr>
        <w:tc>
          <w:tcPr>
            <w:tcW w:type="dxa" w:w="1455"/>
            <w:vAlign w:val="center"/>
            <w:shd w:val="clear" w:color="auto" w:fill="EBF4FD"/>
          </w:tcPr>
          <w:p>
            <w:pPr>
              <w:spacing w:before="60" w:after="60"/>
            </w:pPr>
            <w:r>
              <w:rPr>
                <w:rFonts w:ascii="Calibri" w:hAnsi="Calibri"/>
                <w:color w:val="1A233A"/>
                <w:sz w:val="19"/>
              </w:rPr>
              <w:t>11</w:t>
            </w:r>
          </w:p>
        </w:tc>
        <w:tc>
          <w:tcPr>
            <w:tcW w:type="dxa" w:w="1455"/>
            <w:vAlign w:val="center"/>
            <w:shd w:val="clear" w:color="auto" w:fill="EBF4FD"/>
          </w:tcPr>
          <w:p>
            <w:pPr>
              <w:spacing w:before="60" w:after="60"/>
            </w:pPr>
            <w:r>
              <w:rPr>
                <w:rFonts w:ascii="Calibri" w:hAnsi="Calibri"/>
                <w:color w:val="1A233A"/>
                <w:sz w:val="19"/>
              </w:rPr>
              <w:t>Espera en Salud Pública</w:t>
            </w:r>
          </w:p>
        </w:tc>
        <w:tc>
          <w:tcPr>
            <w:tcW w:type="dxa" w:w="1455"/>
            <w:vAlign w:val="center"/>
            <w:shd w:val="clear" w:color="auto" w:fill="EBF4FD"/>
          </w:tcPr>
          <w:p>
            <w:pPr>
              <w:spacing w:before="60" w:after="60"/>
            </w:pPr>
            <w:r>
              <w:rPr>
                <w:rFonts w:ascii="Calibri" w:hAnsi="Calibri"/>
                <w:color w:val="1A233A"/>
                <w:sz w:val="19"/>
              </w:rPr>
              <w:t>Promedio días para turno en especialidades críticas</w:t>
            </w:r>
          </w:p>
        </w:tc>
        <w:tc>
          <w:tcPr>
            <w:tcW w:type="dxa" w:w="1455"/>
            <w:vAlign w:val="center"/>
            <w:shd w:val="clear" w:color="auto" w:fill="EBF4FD"/>
          </w:tcPr>
          <w:p>
            <w:pPr>
              <w:spacing w:before="60" w:after="60"/>
            </w:pPr>
            <w:r>
              <w:rPr>
                <w:rFonts w:ascii="Calibri" w:hAnsi="Calibri"/>
                <w:color w:val="1A233A"/>
                <w:sz w:val="19"/>
              </w:rPr>
              <w:t>SISA — Ministerio de Salud</w:t>
            </w:r>
          </w:p>
        </w:tc>
        <w:tc>
          <w:tcPr>
            <w:tcW w:type="dxa" w:w="1455"/>
            <w:vAlign w:val="center"/>
            <w:shd w:val="clear" w:color="auto" w:fill="EBF4FD"/>
          </w:tcPr>
          <w:p>
            <w:pPr>
              <w:spacing w:before="60" w:after="60"/>
            </w:pPr>
            <w:r>
              <w:rPr>
                <w:rFonts w:ascii="Calibri" w:hAnsi="Calibri"/>
                <w:color w:val="1A233A"/>
                <w:sz w:val="19"/>
              </w:rPr>
              <w:t>No disponible — reemplazar</w:t>
            </w:r>
          </w:p>
        </w:tc>
        <w:tc>
          <w:tcPr>
            <w:tcW w:type="dxa" w:w="1455"/>
            <w:vAlign w:val="center"/>
            <w:shd w:val="clear" w:color="auto" w:fill="EBF4FD"/>
          </w:tcPr>
          <w:p>
            <w:pPr>
              <w:spacing w:before="60" w:after="60"/>
            </w:pPr>
            <w:r>
              <w:rPr>
                <w:rFonts w:ascii="Calibri" w:hAnsi="Calibri"/>
                <w:color w:val="1A233A"/>
                <w:sz w:val="19"/>
              </w:rPr>
              <w:t>Ver nota abajo</w:t>
            </w:r>
          </w:p>
        </w:tc>
      </w:tr>
      <w:tr>
        <w:tc>
          <w:tcPr>
            <w:tcW w:type="dxa" w:w="1455"/>
            <w:vAlign w:val="center"/>
          </w:tcPr>
          <w:p>
            <w:pPr>
              <w:spacing w:before="60" w:after="60"/>
            </w:pPr>
            <w:r>
              <w:rPr>
                <w:rFonts w:ascii="Calibri" w:hAnsi="Calibri"/>
                <w:color w:val="1A233A"/>
                <w:sz w:val="19"/>
              </w:rPr>
              <w:t>12</w:t>
            </w:r>
          </w:p>
        </w:tc>
        <w:tc>
          <w:tcPr>
            <w:tcW w:type="dxa" w:w="1455"/>
            <w:vAlign w:val="center"/>
          </w:tcPr>
          <w:p>
            <w:pPr>
              <w:spacing w:before="60" w:after="60"/>
            </w:pPr>
            <w:r>
              <w:rPr>
                <w:rFonts w:ascii="Calibri" w:hAnsi="Calibri"/>
                <w:color w:val="1A233A"/>
                <w:sz w:val="19"/>
              </w:rPr>
              <w:t>Inseguridad Urbana</w:t>
            </w:r>
          </w:p>
        </w:tc>
        <w:tc>
          <w:tcPr>
            <w:tcW w:type="dxa" w:w="1455"/>
            <w:vAlign w:val="center"/>
          </w:tcPr>
          <w:p>
            <w:pPr>
              <w:spacing w:before="60" w:after="60"/>
            </w:pPr>
            <w:r>
              <w:rPr>
                <w:rFonts w:ascii="Calibri" w:hAnsi="Calibri"/>
                <w:color w:val="1A233A"/>
                <w:sz w:val="19"/>
              </w:rPr>
              <w:t>Tasa de victimización y hechos delictivos en centros urbanos</w:t>
            </w:r>
          </w:p>
        </w:tc>
        <w:tc>
          <w:tcPr>
            <w:tcW w:type="dxa" w:w="1455"/>
            <w:vAlign w:val="center"/>
          </w:tcPr>
          <w:p>
            <w:pPr>
              <w:spacing w:before="60" w:after="60"/>
            </w:pPr>
            <w:r>
              <w:rPr>
                <w:rFonts w:ascii="Calibri" w:hAnsi="Calibri"/>
                <w:color w:val="1A233A"/>
                <w:sz w:val="19"/>
              </w:rPr>
              <w:t>SNIC — Ministerio de Seguridad</w:t>
            </w:r>
          </w:p>
        </w:tc>
        <w:tc>
          <w:tcPr>
            <w:tcW w:type="dxa" w:w="1455"/>
            <w:vAlign w:val="center"/>
          </w:tcPr>
          <w:p>
            <w:pPr>
              <w:spacing w:before="60" w:after="60"/>
            </w:pPr>
            <w:r>
              <w:rPr>
                <w:rFonts w:ascii="Calibri" w:hAnsi="Calibri"/>
                <w:color w:val="1A233A"/>
                <w:sz w:val="19"/>
              </w:rPr>
              <w:t>Parcial — Tier 2 con rezago</w:t>
            </w:r>
          </w:p>
        </w:tc>
        <w:tc>
          <w:tcPr>
            <w:tcW w:type="dxa" w:w="1455"/>
            <w:vAlign w:val="center"/>
          </w:tcPr>
          <w:p>
            <w:pPr>
              <w:spacing w:before="60" w:after="60"/>
            </w:pPr>
            <w:r>
              <w:rPr>
                <w:rFonts w:ascii="Calibri" w:hAnsi="Calibri"/>
                <w:color w:val="1A233A"/>
                <w:sz w:val="19"/>
              </w:rPr>
              <w:t>SNIC publica datos anuales con 6-12 meses de retraso. Complementar con encuestas de victimización (LICIP-UTDT, Poliarquía)</w:t>
            </w:r>
          </w:p>
        </w:tc>
      </w:tr>
    </w:tbl>
    <w:p/>
    <w:p>
      <w:pPr>
        <w:spacing w:after="120"/>
      </w:pPr>
      <w:r>
        <w:rPr>
          <w:rFonts w:ascii="Calibri" w:hAnsi="Calibri"/>
          <w:b/>
          <w:i w:val="0"/>
          <w:sz w:val="22"/>
        </w:rPr>
        <w:t>Nota indicador #11 — Espera en Salud:</w:t>
      </w:r>
      <w:r>
        <w:rPr>
          <w:rFonts w:ascii="Calibri" w:hAnsi="Calibri"/>
          <w:b w:val="0"/>
          <w:i w:val="0"/>
          <w:sz w:val="22"/>
        </w:rPr>
        <w:t xml:space="preserve"> El SISA no publica tiempos de espera en datos abiertos. </w:t>
      </w:r>
      <w:r>
        <w:rPr>
          <w:rFonts w:ascii="Calibri" w:hAnsi="Calibri"/>
          <w:b/>
          <w:i w:val="0"/>
          <w:sz w:val="22"/>
        </w:rPr>
        <w:t>Alternativa recomendada</w:t>
      </w:r>
      <w:r>
        <w:rPr>
          <w:rFonts w:ascii="Calibri" w:hAnsi="Calibri"/>
          <w:b w:val="0"/>
          <w:i w:val="0"/>
          <w:sz w:val="22"/>
        </w:rPr>
        <w:t>: DEIS (Dirección de Estadísticas e Información en Salud) publica mortalidad infantil y por causas en Excel anual (deis.msal.gov.ar). Mide resultado, no proceso, pero es el proxy más robusto disponible. Para cobertura: el INDEC publica acceso a salud en EPH.</w:t>
      </w:r>
    </w:p>
    <w:p>
      <w:pPr>
        <w:pBdr>
          <w:bottom w:val="single" w:sz="6" w:space="4" w:color="3A8FC9"/>
        </w:pBdr>
        <w:spacing w:before="120" w:after="120"/>
      </w:pPr>
    </w:p>
    <w:p>
      <w:pPr>
        <w:spacing w:before="120" w:after="120"/>
      </w:pPr>
      <w:r>
        <w:rPr>
          <w:rFonts w:ascii="Calibri" w:hAnsi="Calibri"/>
          <w:b/>
          <w:color w:val="3A8FC9"/>
          <w:sz w:val="26"/>
        </w:rPr>
        <w:t>IV. Clima y Expectativas — Humor Social</w:t>
      </w:r>
    </w:p>
    <w:tbl>
      <w:tblPr>
        <w:tblStyle w:val="TableGrid"/>
        <w:tblW w:type="auto" w:w="0"/>
        <w:jc w:val="left"/>
        <w:tblLook w:firstColumn="1" w:firstRow="1" w:lastColumn="0" w:lastRow="0" w:noHBand="0" w:noVBand="1" w:val="04A0"/>
      </w:tblPr>
      <w:tblGrid>
        <w:gridCol w:w="1455"/>
        <w:gridCol w:w="1455"/>
        <w:gridCol w:w="1455"/>
        <w:gridCol w:w="1455"/>
        <w:gridCol w:w="1455"/>
        <w:gridCol w:w="1455"/>
      </w:tblGrid>
      <w:tr>
        <w:tc>
          <w:tcPr>
            <w:tcW w:type="dxa" w:w="1455"/>
            <w:vAlign w:val="center"/>
            <w:shd w:val="clear" w:color="auto" w:fill="1E5F9E"/>
          </w:tcPr>
          <w:p>
            <w:pPr>
              <w:spacing w:before="80" w:after="80"/>
            </w:pPr>
            <w:r>
              <w:rPr>
                <w:rFonts w:ascii="Calibri" w:hAnsi="Calibri"/>
                <w:b/>
                <w:color w:val="FFFFFF"/>
                <w:sz w:val="20"/>
              </w:rPr>
              <w:t>#</w:t>
            </w:r>
          </w:p>
        </w:tc>
        <w:tc>
          <w:tcPr>
            <w:tcW w:type="dxa" w:w="1455"/>
            <w:vAlign w:val="center"/>
            <w:shd w:val="clear" w:color="auto" w:fill="1E5F9E"/>
          </w:tcPr>
          <w:p>
            <w:pPr>
              <w:spacing w:before="80" w:after="80"/>
            </w:pPr>
            <w:r>
              <w:rPr>
                <w:rFonts w:ascii="Calibri" w:hAnsi="Calibri"/>
                <w:b/>
                <w:color w:val="FFFFFF"/>
                <w:sz w:val="20"/>
              </w:rPr>
              <w:t>Indicador</w:t>
            </w:r>
          </w:p>
        </w:tc>
        <w:tc>
          <w:tcPr>
            <w:tcW w:type="dxa" w:w="1455"/>
            <w:vAlign w:val="center"/>
            <w:shd w:val="clear" w:color="auto" w:fill="1E5F9E"/>
          </w:tcPr>
          <w:p>
            <w:pPr>
              <w:spacing w:before="80" w:after="80"/>
            </w:pPr>
            <w:r>
              <w:rPr>
                <w:rFonts w:ascii="Calibri" w:hAnsi="Calibri"/>
                <w:b/>
                <w:color w:val="FFFFFF"/>
                <w:sz w:val="20"/>
              </w:rPr>
              <w:t>Construcción</w:t>
            </w:r>
          </w:p>
        </w:tc>
        <w:tc>
          <w:tcPr>
            <w:tcW w:type="dxa" w:w="1455"/>
            <w:vAlign w:val="center"/>
            <w:shd w:val="clear" w:color="auto" w:fill="1E5F9E"/>
          </w:tcPr>
          <w:p>
            <w:pPr>
              <w:spacing w:before="80" w:after="80"/>
            </w:pPr>
            <w:r>
              <w:rPr>
                <w:rFonts w:ascii="Calibri" w:hAnsi="Calibri"/>
                <w:b/>
                <w:color w:val="FFFFFF"/>
                <w:sz w:val="20"/>
              </w:rPr>
              <w:t>Fuente</w:t>
            </w:r>
          </w:p>
        </w:tc>
        <w:tc>
          <w:tcPr>
            <w:tcW w:type="dxa" w:w="1455"/>
            <w:vAlign w:val="center"/>
            <w:shd w:val="clear" w:color="auto" w:fill="1E5F9E"/>
          </w:tcPr>
          <w:p>
            <w:pPr>
              <w:spacing w:before="80" w:after="80"/>
            </w:pPr>
            <w:r>
              <w:rPr>
                <w:rFonts w:ascii="Calibri" w:hAnsi="Calibri"/>
                <w:b/>
                <w:color w:val="FFFFFF"/>
                <w:sz w:val="20"/>
              </w:rPr>
              <w:t>Automatizable</w:t>
            </w:r>
          </w:p>
        </w:tc>
        <w:tc>
          <w:tcPr>
            <w:tcW w:type="dxa" w:w="1455"/>
            <w:vAlign w:val="center"/>
            <w:shd w:val="clear" w:color="auto" w:fill="1E5F9E"/>
          </w:tcPr>
          <w:p>
            <w:pPr>
              <w:spacing w:before="80" w:after="80"/>
            </w:pPr>
            <w:r>
              <w:rPr>
                <w:rFonts w:ascii="Calibri" w:hAnsi="Calibri"/>
                <w:b/>
                <w:color w:val="FFFFFF"/>
                <w:sz w:val="20"/>
              </w:rPr>
              <w:t>Estado</w:t>
            </w:r>
          </w:p>
        </w:tc>
      </w:tr>
      <w:tr>
        <w:tc>
          <w:tcPr>
            <w:tcW w:type="dxa" w:w="1455"/>
            <w:vAlign w:val="center"/>
          </w:tcPr>
          <w:p>
            <w:pPr>
              <w:spacing w:before="60" w:after="60"/>
            </w:pPr>
            <w:r>
              <w:rPr>
                <w:rFonts w:ascii="Calibri" w:hAnsi="Calibri"/>
                <w:color w:val="1A233A"/>
                <w:sz w:val="19"/>
              </w:rPr>
              <w:t>13</w:t>
            </w:r>
          </w:p>
        </w:tc>
        <w:tc>
          <w:tcPr>
            <w:tcW w:type="dxa" w:w="1455"/>
            <w:vAlign w:val="center"/>
          </w:tcPr>
          <w:p>
            <w:pPr>
              <w:spacing w:before="60" w:after="60"/>
            </w:pPr>
            <w:r>
              <w:rPr>
                <w:rFonts w:ascii="Calibri" w:hAnsi="Calibri"/>
                <w:color w:val="1A233A"/>
                <w:sz w:val="19"/>
              </w:rPr>
              <w:t>ICC — Confianza del Consumidor</w:t>
            </w:r>
          </w:p>
        </w:tc>
        <w:tc>
          <w:tcPr>
            <w:tcW w:type="dxa" w:w="1455"/>
            <w:vAlign w:val="center"/>
          </w:tcPr>
          <w:p>
            <w:pPr>
              <w:spacing w:before="60" w:after="60"/>
            </w:pPr>
            <w:r>
              <w:rPr>
                <w:rFonts w:ascii="Calibri" w:hAnsi="Calibri"/>
                <w:color w:val="1A233A"/>
                <w:sz w:val="19"/>
              </w:rPr>
              <w:t>Nivel de optimismo sobre situación económica personal y compra de durables</w:t>
            </w:r>
          </w:p>
        </w:tc>
        <w:tc>
          <w:tcPr>
            <w:tcW w:type="dxa" w:w="1455"/>
            <w:vAlign w:val="center"/>
          </w:tcPr>
          <w:p>
            <w:pPr>
              <w:spacing w:before="60" w:after="60"/>
            </w:pPr>
            <w:r>
              <w:rPr>
                <w:rFonts w:ascii="Calibri" w:hAnsi="Calibri"/>
                <w:color w:val="1A233A"/>
                <w:sz w:val="19"/>
              </w:rPr>
              <w:t>UTDT (serie desde 2001)</w:t>
            </w:r>
          </w:p>
        </w:tc>
        <w:tc>
          <w:tcPr>
            <w:tcW w:type="dxa" w:w="1455"/>
            <w:vAlign w:val="center"/>
          </w:tcPr>
          <w:p>
            <w:pPr>
              <w:spacing w:before="60" w:after="60"/>
            </w:pPr>
            <w:r>
              <w:rPr>
                <w:rFonts w:ascii="Calibri" w:hAnsi="Calibri"/>
                <w:color w:val="1A233A"/>
                <w:sz w:val="19"/>
              </w:rPr>
              <w:t>Sí — Tier 1</w:t>
            </w:r>
          </w:p>
        </w:tc>
        <w:tc>
          <w:tcPr>
            <w:tcW w:type="dxa" w:w="1455"/>
            <w:vAlign w:val="center"/>
          </w:tcPr>
          <w:p>
            <w:pPr>
              <w:spacing w:before="60" w:after="60"/>
            </w:pPr>
            <w:r>
              <w:rPr>
                <w:rFonts w:ascii="Calibri" w:hAnsi="Calibri"/>
                <w:color w:val="1A233A"/>
                <w:sz w:val="19"/>
              </w:rPr>
              <w:t>Scraping listado UTDT + descarga XLS. Verificado ✓. Abril 2026: 38.1</w:t>
            </w:r>
          </w:p>
        </w:tc>
      </w:tr>
      <w:tr>
        <w:tc>
          <w:tcPr>
            <w:tcW w:type="dxa" w:w="1455"/>
            <w:vAlign w:val="center"/>
            <w:shd w:val="clear" w:color="auto" w:fill="EBF4FD"/>
          </w:tcPr>
          <w:p>
            <w:pPr>
              <w:spacing w:before="60" w:after="60"/>
            </w:pPr>
            <w:r>
              <w:rPr>
                <w:rFonts w:ascii="Calibri" w:hAnsi="Calibri"/>
                <w:color w:val="1A233A"/>
                <w:sz w:val="19"/>
              </w:rPr>
              <w:t>14</w:t>
            </w:r>
          </w:p>
        </w:tc>
        <w:tc>
          <w:tcPr>
            <w:tcW w:type="dxa" w:w="1455"/>
            <w:vAlign w:val="center"/>
            <w:shd w:val="clear" w:color="auto" w:fill="EBF4FD"/>
          </w:tcPr>
          <w:p>
            <w:pPr>
              <w:spacing w:before="60" w:after="60"/>
            </w:pPr>
            <w:r>
              <w:rPr>
                <w:rFonts w:ascii="Calibri" w:hAnsi="Calibri"/>
                <w:color w:val="1A233A"/>
                <w:sz w:val="19"/>
              </w:rPr>
              <w:t>Sentimiento Digital</w:t>
            </w:r>
          </w:p>
        </w:tc>
        <w:tc>
          <w:tcPr>
            <w:tcW w:type="dxa" w:w="1455"/>
            <w:vAlign w:val="center"/>
            <w:shd w:val="clear" w:color="auto" w:fill="EBF4FD"/>
          </w:tcPr>
          <w:p>
            <w:pPr>
              <w:spacing w:before="60" w:after="60"/>
            </w:pPr>
            <w:r>
              <w:rPr>
                <w:rFonts w:ascii="Calibri" w:hAnsi="Calibri"/>
                <w:color w:val="1A233A"/>
                <w:sz w:val="19"/>
              </w:rPr>
              <w:t>Análisis de polaridad sobre "precios", "seguridad", "futuro" en redes</w:t>
            </w:r>
          </w:p>
        </w:tc>
        <w:tc>
          <w:tcPr>
            <w:tcW w:type="dxa" w:w="1455"/>
            <w:vAlign w:val="center"/>
            <w:shd w:val="clear" w:color="auto" w:fill="EBF4FD"/>
          </w:tcPr>
          <w:p>
            <w:pPr>
              <w:spacing w:before="60" w:after="60"/>
            </w:pPr>
            <w:r>
              <w:rPr>
                <w:rFonts w:ascii="Calibri" w:hAnsi="Calibri"/>
                <w:color w:val="1A233A"/>
                <w:sz w:val="19"/>
              </w:rPr>
              <w:t>X API + Meta + NLP pipeline</w:t>
            </w:r>
          </w:p>
        </w:tc>
        <w:tc>
          <w:tcPr>
            <w:tcW w:type="dxa" w:w="1455"/>
            <w:vAlign w:val="center"/>
            <w:shd w:val="clear" w:color="auto" w:fill="EBF4FD"/>
          </w:tcPr>
          <w:p>
            <w:pPr>
              <w:spacing w:before="60" w:after="60"/>
            </w:pPr>
            <w:r>
              <w:rPr>
                <w:rFonts w:ascii="Calibri" w:hAnsi="Calibri"/>
                <w:color w:val="1A233A"/>
                <w:sz w:val="19"/>
              </w:rPr>
              <w:t>Futuro — requiere inversión</w:t>
            </w:r>
          </w:p>
        </w:tc>
        <w:tc>
          <w:tcPr>
            <w:tcW w:type="dxa" w:w="1455"/>
            <w:vAlign w:val="center"/>
            <w:shd w:val="clear" w:color="auto" w:fill="EBF4FD"/>
          </w:tcPr>
          <w:p>
            <w:pPr>
              <w:spacing w:before="60" w:after="60"/>
            </w:pPr>
            <w:r>
              <w:rPr>
                <w:rFonts w:ascii="Calibri" w:hAnsi="Calibri"/>
                <w:color w:val="1A233A"/>
                <w:sz w:val="19"/>
              </w:rPr>
              <w:t>Ver nota abajo</w:t>
            </w:r>
          </w:p>
        </w:tc>
      </w:tr>
      <w:tr>
        <w:tc>
          <w:tcPr>
            <w:tcW w:type="dxa" w:w="1455"/>
            <w:vAlign w:val="center"/>
          </w:tcPr>
          <w:p>
            <w:pPr>
              <w:spacing w:before="60" w:after="60"/>
            </w:pPr>
            <w:r>
              <w:rPr>
                <w:rFonts w:ascii="Calibri" w:hAnsi="Calibri"/>
                <w:color w:val="1A233A"/>
                <w:sz w:val="19"/>
              </w:rPr>
              <w:t>15</w:t>
            </w:r>
          </w:p>
        </w:tc>
        <w:tc>
          <w:tcPr>
            <w:tcW w:type="dxa" w:w="1455"/>
            <w:vAlign w:val="center"/>
          </w:tcPr>
          <w:p>
            <w:pPr>
              <w:spacing w:before="60" w:after="60"/>
            </w:pPr>
            <w:r>
              <w:rPr>
                <w:rFonts w:ascii="Calibri" w:hAnsi="Calibri"/>
                <w:color w:val="1A233A"/>
                <w:sz w:val="19"/>
              </w:rPr>
              <w:t>Apatía Electoral</w:t>
            </w:r>
          </w:p>
        </w:tc>
        <w:tc>
          <w:tcPr>
            <w:tcW w:type="dxa" w:w="1455"/>
            <w:vAlign w:val="center"/>
          </w:tcPr>
          <w:p>
            <w:pPr>
              <w:spacing w:before="60" w:after="60"/>
            </w:pPr>
            <w:r>
              <w:rPr>
                <w:rFonts w:ascii="Calibri" w:hAnsi="Calibri"/>
                <w:color w:val="1A233A"/>
                <w:sz w:val="19"/>
              </w:rPr>
              <w:t>Voto en blanco + nulo + NS/NC en encuestas recientes</w:t>
            </w:r>
          </w:p>
        </w:tc>
        <w:tc>
          <w:tcPr>
            <w:tcW w:type="dxa" w:w="1455"/>
            <w:vAlign w:val="center"/>
          </w:tcPr>
          <w:p>
            <w:pPr>
              <w:spacing w:before="60" w:after="60"/>
            </w:pPr>
            <w:r>
              <w:rPr>
                <w:rFonts w:ascii="Calibri" w:hAnsi="Calibri"/>
                <w:color w:val="1A233A"/>
                <w:sz w:val="19"/>
              </w:rPr>
              <w:t>Votómetro CIGOB (109 encuestas)</w:t>
            </w:r>
          </w:p>
        </w:tc>
        <w:tc>
          <w:tcPr>
            <w:tcW w:type="dxa" w:w="1455"/>
            <w:vAlign w:val="center"/>
          </w:tcPr>
          <w:p>
            <w:pPr>
              <w:spacing w:before="60" w:after="60"/>
            </w:pPr>
            <w:r>
              <w:rPr>
                <w:rFonts w:ascii="Calibri" w:hAnsi="Calibri"/>
                <w:color w:val="1A233A"/>
                <w:sz w:val="19"/>
              </w:rPr>
              <w:t>Sí — Tier 1</w:t>
            </w:r>
          </w:p>
        </w:tc>
        <w:tc>
          <w:tcPr>
            <w:tcW w:type="dxa" w:w="1455"/>
            <w:vAlign w:val="center"/>
          </w:tcPr>
          <w:p>
            <w:pPr>
              <w:spacing w:before="60" w:after="60"/>
            </w:pPr>
            <w:r>
              <w:rPr>
                <w:rFonts w:ascii="Calibri" w:hAnsi="Calibri"/>
                <w:color w:val="1A233A"/>
                <w:sz w:val="19"/>
              </w:rPr>
              <w:t>Ya disponible en el Votómetro. Leer directamente del HTML</w:t>
            </w:r>
          </w:p>
        </w:tc>
      </w:tr>
    </w:tbl>
    <w:p/>
    <w:p>
      <w:pPr>
        <w:spacing w:after="120"/>
      </w:pPr>
      <w:r>
        <w:rPr>
          <w:rFonts w:ascii="Calibri" w:hAnsi="Calibri"/>
          <w:b/>
          <w:i w:val="0"/>
          <w:sz w:val="22"/>
        </w:rPr>
        <w:t>Nota indicador #14 — Sentimiento Digital:</w:t>
      </w:r>
      <w:r>
        <w:rPr>
          <w:rFonts w:ascii="Calibri" w:hAnsi="Calibri"/>
          <w:b w:val="0"/>
          <w:i w:val="0"/>
          <w:sz w:val="22"/>
        </w:rPr>
        <w:t xml:space="preserve"> Requiere suscripción a X API (USD 100+/mes) y pipeline NLP (modelo BERT en español). </w:t>
      </w:r>
      <w:r>
        <w:rPr>
          <w:rFonts w:ascii="Calibri" w:hAnsi="Calibri"/>
          <w:b/>
          <w:i w:val="0"/>
          <w:sz w:val="22"/>
        </w:rPr>
        <w:t>Alternativa gratuita inmediata</w:t>
      </w:r>
      <w:r>
        <w:rPr>
          <w:rFonts w:ascii="Calibri" w:hAnsi="Calibri"/>
          <w:b w:val="0"/>
          <w:i w:val="0"/>
          <w:sz w:val="22"/>
        </w:rPr>
        <w:t xml:space="preserve">: Google Trends via </w:t>
      </w:r>
      <w:r>
        <w:rPr>
          <w:rFonts w:ascii="Courier New" w:hAnsi="Courier New"/>
          <w:b w:val="0"/>
          <w:sz w:val="20"/>
        </w:rPr>
        <w:t>pytrends</w:t>
      </w:r>
      <w:r>
        <w:rPr>
          <w:rFonts w:ascii="Calibri" w:hAnsi="Calibri"/>
          <w:b w:val="0"/>
          <w:i w:val="0"/>
          <w:sz w:val="22"/>
        </w:rPr>
        <w:t xml:space="preserve"> para términos como "inflación", "precios", "inseguridad" en Argentina. Sin NLP pero disponible hoy, gratuito, y captura el interés en los temas aunque no la polaridad. Es un buen proxy para detectar picos de alarma social antes de que se conviertan en crisis.</w:t>
      </w:r>
    </w:p>
    <w:p>
      <w:pPr>
        <w:pBdr>
          <w:bottom w:val="single" w:sz="6" w:space="4" w:color="3A8FC9"/>
        </w:pBdr>
        <w:spacing w:before="120" w:after="120"/>
      </w:pPr>
    </w:p>
    <w:p>
      <w:pPr>
        <w:spacing w:before="200" w:after="120"/>
      </w:pPr>
      <w:r>
        <w:rPr>
          <w:rFonts w:ascii="Calibri" w:hAnsi="Calibri"/>
          <w:b/>
          <w:color w:val="1E5F9E"/>
          <w:sz w:val="30"/>
        </w:rPr>
        <w:t>Matriz de factibilidad consolidada</w:t>
      </w:r>
    </w:p>
    <w:tbl>
      <w:tblPr>
        <w:tblStyle w:val="TableGrid"/>
        <w:tblW w:type="auto" w:w="0"/>
        <w:jc w:val="left"/>
        <w:tblLook w:firstColumn="1" w:firstRow="1" w:lastColumn="0" w:lastRow="0" w:noHBand="0" w:noVBand="1" w:val="04A0"/>
      </w:tblPr>
      <w:tblGrid>
        <w:gridCol w:w="2183"/>
        <w:gridCol w:w="2183"/>
        <w:gridCol w:w="2183"/>
        <w:gridCol w:w="2183"/>
      </w:tblGrid>
      <w:tr>
        <w:tc>
          <w:tcPr>
            <w:tcW w:type="dxa" w:w="2183"/>
            <w:vAlign w:val="center"/>
            <w:shd w:val="clear" w:color="auto" w:fill="1E5F9E"/>
          </w:tcPr>
          <w:p>
            <w:pPr>
              <w:spacing w:before="80" w:after="80"/>
            </w:pPr>
            <w:r>
              <w:rPr>
                <w:rFonts w:ascii="Calibri" w:hAnsi="Calibri"/>
                <w:b/>
                <w:color w:val="FFFFFF"/>
                <w:sz w:val="20"/>
              </w:rPr>
              <w:t>Tier</w:t>
            </w:r>
          </w:p>
        </w:tc>
        <w:tc>
          <w:tcPr>
            <w:tcW w:type="dxa" w:w="2183"/>
            <w:vAlign w:val="center"/>
            <w:shd w:val="clear" w:color="auto" w:fill="1E5F9E"/>
          </w:tcPr>
          <w:p>
            <w:pPr>
              <w:spacing w:before="80" w:after="80"/>
            </w:pPr>
            <w:r>
              <w:rPr>
                <w:rFonts w:ascii="Calibri" w:hAnsi="Calibri"/>
                <w:b/>
                <w:color w:val="FFFFFF"/>
                <w:sz w:val="20"/>
              </w:rPr>
              <w:t>Indicadores</w:t>
            </w:r>
          </w:p>
        </w:tc>
        <w:tc>
          <w:tcPr>
            <w:tcW w:type="dxa" w:w="2183"/>
            <w:vAlign w:val="center"/>
            <w:shd w:val="clear" w:color="auto" w:fill="1E5F9E"/>
          </w:tcPr>
          <w:p>
            <w:pPr>
              <w:spacing w:before="80" w:after="80"/>
            </w:pPr>
            <w:r>
              <w:rPr>
                <w:rFonts w:ascii="Calibri" w:hAnsi="Calibri"/>
                <w:b/>
                <w:color w:val="FFFFFF"/>
                <w:sz w:val="20"/>
              </w:rPr>
              <w:t>Método</w:t>
            </w:r>
          </w:p>
        </w:tc>
        <w:tc>
          <w:tcPr>
            <w:tcW w:type="dxa" w:w="2183"/>
            <w:vAlign w:val="center"/>
            <w:shd w:val="clear" w:color="auto" w:fill="1E5F9E"/>
          </w:tcPr>
          <w:p>
            <w:pPr>
              <w:spacing w:before="80" w:after="80"/>
            </w:pPr>
            <w:r>
              <w:rPr>
                <w:rFonts w:ascii="Calibri" w:hAnsi="Calibri"/>
                <w:b/>
                <w:color w:val="FFFFFF"/>
                <w:sz w:val="20"/>
              </w:rPr>
              <w:t>Estado</w:t>
            </w:r>
          </w:p>
        </w:tc>
      </w:tr>
      <w:tr>
        <w:tc>
          <w:tcPr>
            <w:tcW w:type="dxa" w:w="2183"/>
            <w:vAlign w:val="center"/>
          </w:tcPr>
          <w:p>
            <w:pPr>
              <w:spacing w:before="60" w:after="60"/>
            </w:pPr>
            <w:r>
              <w:rPr>
                <w:rFonts w:ascii="Calibri" w:hAnsi="Calibri"/>
                <w:color w:val="1A233A"/>
                <w:sz w:val="19"/>
              </w:rPr>
              <w:t>Tier 1 — Automatizable hoy</w:t>
            </w:r>
          </w:p>
        </w:tc>
        <w:tc>
          <w:tcPr>
            <w:tcW w:type="dxa" w:w="2183"/>
            <w:vAlign w:val="center"/>
          </w:tcPr>
          <w:p>
            <w:pPr>
              <w:spacing w:before="60" w:after="60"/>
            </w:pPr>
            <w:r>
              <w:rPr>
                <w:rFonts w:ascii="Calibri" w:hAnsi="Calibri"/>
                <w:color w:val="1A233A"/>
                <w:sz w:val="19"/>
              </w:rPr>
              <w:t>#1 Brecha sal-CBT, #2 IPC-Alimentos, #3 Endeudamiento, #6 Informalidad, #13 ICC, #15 Apatía</w:t>
            </w:r>
          </w:p>
        </w:tc>
        <w:tc>
          <w:tcPr>
            <w:tcW w:type="dxa" w:w="2183"/>
            <w:vAlign w:val="center"/>
          </w:tcPr>
          <w:p>
            <w:pPr>
              <w:spacing w:before="60" w:after="60"/>
            </w:pPr>
            <w:r>
              <w:rPr>
                <w:rFonts w:ascii="Calibri" w:hAnsi="Calibri"/>
                <w:color w:val="1A233A"/>
                <w:sz w:val="19"/>
              </w:rPr>
              <w:t>API JSON o CSV directo</w:t>
            </w:r>
          </w:p>
        </w:tc>
        <w:tc>
          <w:tcPr>
            <w:tcW w:type="dxa" w:w="2183"/>
            <w:vAlign w:val="center"/>
          </w:tcPr>
          <w:p>
            <w:pPr>
              <w:spacing w:before="60" w:after="60"/>
            </w:pPr>
            <w:r>
              <w:rPr>
                <w:rFonts w:ascii="Calibri" w:hAnsi="Calibri"/>
                <w:color w:val="1A233A"/>
                <w:sz w:val="19"/>
              </w:rPr>
              <w:t>6 de 15. Implementados ✓</w:t>
            </w:r>
          </w:p>
        </w:tc>
      </w:tr>
      <w:tr>
        <w:tc>
          <w:tcPr>
            <w:tcW w:type="dxa" w:w="2183"/>
            <w:vAlign w:val="center"/>
            <w:shd w:val="clear" w:color="auto" w:fill="EBF4FD"/>
          </w:tcPr>
          <w:p>
            <w:pPr>
              <w:spacing w:before="60" w:after="60"/>
            </w:pPr>
            <w:r>
              <w:rPr>
                <w:rFonts w:ascii="Calibri" w:hAnsi="Calibri"/>
                <w:color w:val="1A233A"/>
                <w:sz w:val="19"/>
              </w:rPr>
              <w:t>Tier 2 — Semi-automático</w:t>
            </w:r>
          </w:p>
        </w:tc>
        <w:tc>
          <w:tcPr>
            <w:tcW w:type="dxa" w:w="2183"/>
            <w:vAlign w:val="center"/>
            <w:shd w:val="clear" w:color="auto" w:fill="EBF4FD"/>
          </w:tcPr>
          <w:p>
            <w:pPr>
              <w:spacing w:before="60" w:after="60"/>
            </w:pPr>
            <w:r>
              <w:rPr>
                <w:rFonts w:ascii="Calibri" w:hAnsi="Calibri"/>
                <w:color w:val="1A233A"/>
                <w:sz w:val="19"/>
              </w:rPr>
              <w:t>#5 Carne (CICCRA-PDF), #8 Cemento/ISAC (PDF/proxy), #12 Inseguridad (SNIC anual)</w:t>
            </w:r>
          </w:p>
        </w:tc>
        <w:tc>
          <w:tcPr>
            <w:tcW w:type="dxa" w:w="2183"/>
            <w:vAlign w:val="center"/>
            <w:shd w:val="clear" w:color="auto" w:fill="EBF4FD"/>
          </w:tcPr>
          <w:p>
            <w:pPr>
              <w:spacing w:before="60" w:after="60"/>
            </w:pPr>
            <w:r>
              <w:rPr>
                <w:rFonts w:ascii="Calibri" w:hAnsi="Calibri"/>
                <w:color w:val="1A233A"/>
                <w:sz w:val="19"/>
              </w:rPr>
              <w:t>Scraping + parseo PDF</w:t>
            </w:r>
          </w:p>
        </w:tc>
        <w:tc>
          <w:tcPr>
            <w:tcW w:type="dxa" w:w="2183"/>
            <w:vAlign w:val="center"/>
            <w:shd w:val="clear" w:color="auto" w:fill="EBF4FD"/>
          </w:tcPr>
          <w:p>
            <w:pPr>
              <w:spacing w:before="60" w:after="60"/>
            </w:pPr>
            <w:r>
              <w:rPr>
                <w:rFonts w:ascii="Calibri" w:hAnsi="Calibri"/>
                <w:color w:val="1A233A"/>
                <w:sz w:val="19"/>
              </w:rPr>
              <w:t>3 de 15. Requieren trabajo de implementación</w:t>
            </w:r>
          </w:p>
        </w:tc>
      </w:tr>
      <w:tr>
        <w:tc>
          <w:tcPr>
            <w:tcW w:type="dxa" w:w="2183"/>
            <w:vAlign w:val="center"/>
          </w:tcPr>
          <w:p>
            <w:pPr>
              <w:spacing w:before="60" w:after="60"/>
            </w:pPr>
            <w:r>
              <w:rPr>
                <w:rFonts w:ascii="Calibri" w:hAnsi="Calibri"/>
                <w:color w:val="1A233A"/>
                <w:sz w:val="19"/>
              </w:rPr>
              <w:t>Tier 3 — Manual / Anual</w:t>
            </w:r>
          </w:p>
        </w:tc>
        <w:tc>
          <w:tcPr>
            <w:tcW w:type="dxa" w:w="2183"/>
            <w:vAlign w:val="center"/>
          </w:tcPr>
          <w:p>
            <w:pPr>
              <w:spacing w:before="60" w:after="60"/>
            </w:pPr>
            <w:r>
              <w:rPr>
                <w:rFonts w:ascii="Calibri" w:hAnsi="Calibri"/>
                <w:color w:val="1A233A"/>
                <w:sz w:val="19"/>
              </w:rPr>
              <w:t>#9 Pluriempleo (EPH microdatos), #10 Deserción (anual), #4 Tarifas (proxy IPC)</w:t>
            </w:r>
          </w:p>
        </w:tc>
        <w:tc>
          <w:tcPr>
            <w:tcW w:type="dxa" w:w="2183"/>
            <w:vAlign w:val="center"/>
          </w:tcPr>
          <w:p>
            <w:pPr>
              <w:spacing w:before="60" w:after="60"/>
            </w:pPr>
            <w:r>
              <w:rPr>
                <w:rFonts w:ascii="Calibri" w:hAnsi="Calibri"/>
                <w:color w:val="1A233A"/>
                <w:sz w:val="19"/>
              </w:rPr>
              <w:t>Procesamiento manual o frecuencia baja</w:t>
            </w:r>
          </w:p>
        </w:tc>
        <w:tc>
          <w:tcPr>
            <w:tcW w:type="dxa" w:w="2183"/>
            <w:vAlign w:val="center"/>
          </w:tcPr>
          <w:p>
            <w:pPr>
              <w:spacing w:before="60" w:after="60"/>
            </w:pPr>
            <w:r>
              <w:rPr>
                <w:rFonts w:ascii="Calibri" w:hAnsi="Calibri"/>
                <w:color w:val="1A233A"/>
                <w:sz w:val="19"/>
              </w:rPr>
              <w:t>3 de 15. Incorporar como indicadores estructurales</w:t>
            </w:r>
          </w:p>
        </w:tc>
      </w:tr>
      <w:tr>
        <w:tc>
          <w:tcPr>
            <w:tcW w:type="dxa" w:w="2183"/>
            <w:vAlign w:val="center"/>
            <w:shd w:val="clear" w:color="auto" w:fill="EBF4FD"/>
          </w:tcPr>
          <w:p>
            <w:pPr>
              <w:spacing w:before="60" w:after="60"/>
            </w:pPr>
            <w:r>
              <w:rPr>
                <w:rFonts w:ascii="Calibri" w:hAnsi="Calibri"/>
                <w:color w:val="1A233A"/>
                <w:sz w:val="19"/>
              </w:rPr>
              <w:t>Requieren inversión / rediseño</w:t>
            </w:r>
          </w:p>
        </w:tc>
        <w:tc>
          <w:tcPr>
            <w:tcW w:type="dxa" w:w="2183"/>
            <w:vAlign w:val="center"/>
            <w:shd w:val="clear" w:color="auto" w:fill="EBF4FD"/>
          </w:tcPr>
          <w:p>
            <w:pPr>
              <w:spacing w:before="60" w:after="60"/>
            </w:pPr>
            <w:r>
              <w:rPr>
                <w:rFonts w:ascii="Calibri" w:hAnsi="Calibri"/>
                <w:color w:val="1A233A"/>
                <w:sz w:val="19"/>
              </w:rPr>
              <w:t>#7 PyMEs (reemplazar por CAME IPIP), #11 Salud (reemplazar por DEIS), #14 Sentimiento (Google Trends como proxy)</w:t>
            </w:r>
          </w:p>
        </w:tc>
        <w:tc>
          <w:tcPr>
            <w:tcW w:type="dxa" w:w="2183"/>
            <w:vAlign w:val="center"/>
            <w:shd w:val="clear" w:color="auto" w:fill="EBF4FD"/>
          </w:tcPr>
          <w:p>
            <w:pPr>
              <w:spacing w:before="60" w:after="60"/>
            </w:pPr>
            <w:r>
              <w:rPr>
                <w:rFonts w:ascii="Calibri" w:hAnsi="Calibri"/>
                <w:color w:val="1A233A"/>
                <w:sz w:val="19"/>
              </w:rPr>
              <w:t>Cambio de fuente o pipeline nuevo</w:t>
            </w:r>
          </w:p>
        </w:tc>
        <w:tc>
          <w:tcPr>
            <w:tcW w:type="dxa" w:w="2183"/>
            <w:vAlign w:val="center"/>
            <w:shd w:val="clear" w:color="auto" w:fill="EBF4FD"/>
          </w:tcPr>
          <w:p>
            <w:pPr>
              <w:spacing w:before="60" w:after="60"/>
            </w:pPr>
            <w:r>
              <w:rPr>
                <w:rFonts w:ascii="Calibri" w:hAnsi="Calibri"/>
                <w:color w:val="1A233A"/>
                <w:sz w:val="19"/>
              </w:rPr>
              <w:t>3 de 15. Propuesta de sustitución arriba</w:t>
            </w:r>
          </w:p>
        </w:tc>
      </w:tr>
    </w:tbl>
    <w:p/>
    <w:p>
      <w:pPr>
        <w:pBdr>
          <w:bottom w:val="single" w:sz="6" w:space="4" w:color="3A8FC9"/>
        </w:pBdr>
        <w:spacing w:before="120" w:after="120"/>
      </w:pPr>
    </w:p>
    <w:p>
      <w:pPr>
        <w:spacing w:before="200" w:after="120"/>
      </w:pPr>
      <w:r>
        <w:rPr>
          <w:rFonts w:ascii="Calibri" w:hAnsi="Calibri"/>
          <w:b/>
          <w:color w:val="1E5F9E"/>
          <w:sz w:val="30"/>
        </w:rPr>
        <w:t>Datos actuales del sistema (verificados 2026-05-10)</w:t>
      </w:r>
    </w:p>
    <w:p>
      <w:pPr>
        <w:spacing w:after="120"/>
      </w:pPr>
      <w:r>
        <w:rPr>
          <w:rFonts w:ascii="Calibri" w:hAnsi="Calibri"/>
          <w:b w:val="0"/>
          <w:i w:val="0"/>
          <w:sz w:val="22"/>
        </w:rPr>
        <w:t>Estos valores provienen del monitor automático (</w:t>
      </w:r>
      <w:r>
        <w:rPr>
          <w:rFonts w:ascii="Courier New" w:hAnsi="Courier New"/>
          <w:b w:val="0"/>
          <w:sz w:val="20"/>
        </w:rPr>
        <w:t>scripts/vida_cotidiana/main.py</w:t>
      </w:r>
      <w:r>
        <w:rPr>
          <w:rFonts w:ascii="Calibri" w:hAnsi="Calibri"/>
          <w:b w:val="0"/>
          <w:i w:val="0"/>
          <w:sz w:val="22"/>
        </w:rPr>
        <w:t>):</w:t>
      </w:r>
    </w:p>
    <w:tbl>
      <w:tblPr>
        <w:tblStyle w:val="TableGrid"/>
        <w:tblW w:type="auto" w:w="0"/>
        <w:jc w:val="left"/>
        <w:tblLook w:firstColumn="1" w:firstRow="1" w:lastColumn="0" w:lastRow="0" w:noHBand="0" w:noVBand="1" w:val="04A0"/>
      </w:tblPr>
      <w:tblGrid>
        <w:gridCol w:w="2183"/>
        <w:gridCol w:w="2183"/>
        <w:gridCol w:w="2183"/>
        <w:gridCol w:w="2183"/>
      </w:tblGrid>
      <w:tr>
        <w:tc>
          <w:tcPr>
            <w:tcW w:type="dxa" w:w="2183"/>
            <w:vAlign w:val="center"/>
            <w:shd w:val="clear" w:color="auto" w:fill="1E5F9E"/>
          </w:tcPr>
          <w:p>
            <w:pPr>
              <w:spacing w:before="80" w:after="80"/>
            </w:pPr>
            <w:r>
              <w:rPr>
                <w:rFonts w:ascii="Calibri" w:hAnsi="Calibri"/>
                <w:b/>
                <w:color w:val="FFFFFF"/>
                <w:sz w:val="20"/>
              </w:rPr>
              <w:t>Indicador</w:t>
            </w:r>
          </w:p>
        </w:tc>
        <w:tc>
          <w:tcPr>
            <w:tcW w:type="dxa" w:w="2183"/>
            <w:vAlign w:val="center"/>
            <w:shd w:val="clear" w:color="auto" w:fill="1E5F9E"/>
          </w:tcPr>
          <w:p>
            <w:pPr>
              <w:spacing w:before="80" w:after="80"/>
            </w:pPr>
            <w:r>
              <w:rPr>
                <w:rFonts w:ascii="Calibri" w:hAnsi="Calibri"/>
                <w:b/>
                <w:color w:val="FFFFFF"/>
                <w:sz w:val="20"/>
              </w:rPr>
              <w:t>Valor</w:t>
            </w:r>
          </w:p>
        </w:tc>
        <w:tc>
          <w:tcPr>
            <w:tcW w:type="dxa" w:w="2183"/>
            <w:vAlign w:val="center"/>
            <w:shd w:val="clear" w:color="auto" w:fill="1E5F9E"/>
          </w:tcPr>
          <w:p>
            <w:pPr>
              <w:spacing w:before="80" w:after="80"/>
            </w:pPr>
            <w:r>
              <w:rPr>
                <w:rFonts w:ascii="Calibri" w:hAnsi="Calibri"/>
                <w:b/>
                <w:color w:val="FFFFFF"/>
                <w:sz w:val="20"/>
              </w:rPr>
              <w:t>Fecha</w:t>
            </w:r>
          </w:p>
        </w:tc>
        <w:tc>
          <w:tcPr>
            <w:tcW w:type="dxa" w:w="2183"/>
            <w:vAlign w:val="center"/>
            <w:shd w:val="clear" w:color="auto" w:fill="1E5F9E"/>
          </w:tcPr>
          <w:p>
            <w:pPr>
              <w:spacing w:before="80" w:after="80"/>
            </w:pPr>
            <w:r>
              <w:rPr>
                <w:rFonts w:ascii="Calibri" w:hAnsi="Calibri"/>
                <w:b/>
                <w:color w:val="FFFFFF"/>
                <w:sz w:val="20"/>
              </w:rPr>
              <w:t>Var. m/m</w:t>
            </w:r>
          </w:p>
        </w:tc>
      </w:tr>
      <w:tr>
        <w:tc>
          <w:tcPr>
            <w:tcW w:type="dxa" w:w="2183"/>
            <w:vAlign w:val="center"/>
          </w:tcPr>
          <w:p>
            <w:pPr>
              <w:spacing w:before="60" w:after="60"/>
            </w:pPr>
            <w:r>
              <w:rPr>
                <w:rFonts w:ascii="Calibri" w:hAnsi="Calibri"/>
                <w:color w:val="1A233A"/>
                <w:sz w:val="19"/>
              </w:rPr>
              <w:t>IPC total</w:t>
            </w:r>
          </w:p>
        </w:tc>
        <w:tc>
          <w:tcPr>
            <w:tcW w:type="dxa" w:w="2183"/>
            <w:vAlign w:val="center"/>
          </w:tcPr>
          <w:p>
            <w:pPr>
              <w:spacing w:before="60" w:after="60"/>
            </w:pPr>
            <w:r>
              <w:rPr>
                <w:rFonts w:ascii="Calibri" w:hAnsi="Calibri"/>
                <w:color w:val="1A233A"/>
                <w:sz w:val="19"/>
              </w:rPr>
              <w:t>11.077 (base dic-2016)</w:t>
            </w:r>
          </w:p>
        </w:tc>
        <w:tc>
          <w:tcPr>
            <w:tcW w:type="dxa" w:w="2183"/>
            <w:vAlign w:val="center"/>
          </w:tcPr>
          <w:p>
            <w:pPr>
              <w:spacing w:before="60" w:after="60"/>
            </w:pPr>
            <w:r>
              <w:rPr>
                <w:rFonts w:ascii="Calibri" w:hAnsi="Calibri"/>
                <w:color w:val="1A233A"/>
                <w:sz w:val="19"/>
              </w:rPr>
              <w:t>mar-2026</w:t>
            </w:r>
          </w:p>
        </w:tc>
        <w:tc>
          <w:tcPr>
            <w:tcW w:type="dxa" w:w="2183"/>
            <w:vAlign w:val="center"/>
          </w:tcPr>
          <w:p>
            <w:pPr>
              <w:spacing w:before="60" w:after="60"/>
            </w:pPr>
            <w:r>
              <w:rPr>
                <w:rFonts w:ascii="Calibri" w:hAnsi="Calibri"/>
                <w:color w:val="1A233A"/>
                <w:sz w:val="19"/>
              </w:rPr>
              <w:t>+3.38%</w:t>
            </w:r>
          </w:p>
        </w:tc>
      </w:tr>
      <w:tr>
        <w:tc>
          <w:tcPr>
            <w:tcW w:type="dxa" w:w="2183"/>
            <w:vAlign w:val="center"/>
            <w:shd w:val="clear" w:color="auto" w:fill="EBF4FD"/>
          </w:tcPr>
          <w:p>
            <w:pPr>
              <w:spacing w:before="60" w:after="60"/>
            </w:pPr>
            <w:r>
              <w:rPr>
                <w:rFonts w:ascii="Calibri" w:hAnsi="Calibri"/>
                <w:color w:val="1A233A"/>
                <w:sz w:val="19"/>
              </w:rPr>
              <w:t>IPC Alimentos</w:t>
            </w:r>
          </w:p>
        </w:tc>
        <w:tc>
          <w:tcPr>
            <w:tcW w:type="dxa" w:w="2183"/>
            <w:vAlign w:val="center"/>
            <w:shd w:val="clear" w:color="auto" w:fill="EBF4FD"/>
          </w:tcPr>
          <w:p>
            <w:pPr>
              <w:spacing w:before="60" w:after="60"/>
            </w:pPr>
            <w:r>
              <w:rPr>
                <w:rFonts w:ascii="Calibri" w:hAnsi="Calibri"/>
                <w:color w:val="1A233A"/>
                <w:sz w:val="19"/>
              </w:rPr>
              <w:t>12.014 (base dic-2016)</w:t>
            </w:r>
          </w:p>
        </w:tc>
        <w:tc>
          <w:tcPr>
            <w:tcW w:type="dxa" w:w="2183"/>
            <w:vAlign w:val="center"/>
            <w:shd w:val="clear" w:color="auto" w:fill="EBF4FD"/>
          </w:tcPr>
          <w:p>
            <w:pPr>
              <w:spacing w:before="60" w:after="60"/>
            </w:pPr>
            <w:r>
              <w:rPr>
                <w:rFonts w:ascii="Calibri" w:hAnsi="Calibri"/>
                <w:color w:val="1A233A"/>
                <w:sz w:val="19"/>
              </w:rPr>
              <w:t>mar-2026</w:t>
            </w:r>
          </w:p>
        </w:tc>
        <w:tc>
          <w:tcPr>
            <w:tcW w:type="dxa" w:w="2183"/>
            <w:vAlign w:val="center"/>
            <w:shd w:val="clear" w:color="auto" w:fill="EBF4FD"/>
          </w:tcPr>
          <w:p>
            <w:pPr>
              <w:spacing w:before="60" w:after="60"/>
            </w:pPr>
            <w:r>
              <w:rPr>
                <w:rFonts w:ascii="Calibri" w:hAnsi="Calibri"/>
                <w:color w:val="1A233A"/>
                <w:sz w:val="19"/>
              </w:rPr>
              <w:t>+3.35%</w:t>
            </w:r>
          </w:p>
        </w:tc>
      </w:tr>
      <w:tr>
        <w:tc>
          <w:tcPr>
            <w:tcW w:type="dxa" w:w="2183"/>
            <w:vAlign w:val="center"/>
          </w:tcPr>
          <w:p>
            <w:pPr>
              <w:spacing w:before="60" w:after="60"/>
            </w:pPr>
            <w:r>
              <w:rPr>
                <w:rFonts w:ascii="Calibri" w:hAnsi="Calibri"/>
                <w:color w:val="1A233A"/>
                <w:sz w:val="19"/>
              </w:rPr>
              <w:t>Índice de Salarios (total)</w:t>
            </w:r>
          </w:p>
        </w:tc>
        <w:tc>
          <w:tcPr>
            <w:tcW w:type="dxa" w:w="2183"/>
            <w:vAlign w:val="center"/>
          </w:tcPr>
          <w:p>
            <w:pPr>
              <w:spacing w:before="60" w:after="60"/>
            </w:pPr>
            <w:r>
              <w:rPr>
                <w:rFonts w:ascii="Calibri" w:hAnsi="Calibri"/>
                <w:color w:val="1A233A"/>
                <w:sz w:val="19"/>
              </w:rPr>
              <w:t>8.171 (base oct-2016)</w:t>
            </w:r>
          </w:p>
        </w:tc>
        <w:tc>
          <w:tcPr>
            <w:tcW w:type="dxa" w:w="2183"/>
            <w:vAlign w:val="center"/>
          </w:tcPr>
          <w:p>
            <w:pPr>
              <w:spacing w:before="60" w:after="60"/>
            </w:pPr>
            <w:r>
              <w:rPr>
                <w:rFonts w:ascii="Calibri" w:hAnsi="Calibri"/>
                <w:color w:val="1A233A"/>
                <w:sz w:val="19"/>
              </w:rPr>
              <w:t>ene-2026</w:t>
            </w:r>
          </w:p>
        </w:tc>
        <w:tc>
          <w:tcPr>
            <w:tcW w:type="dxa" w:w="2183"/>
            <w:vAlign w:val="center"/>
          </w:tcPr>
          <w:p>
            <w:pPr>
              <w:spacing w:before="60" w:after="60"/>
            </w:pPr>
            <w:r>
              <w:rPr>
                <w:rFonts w:ascii="Calibri" w:hAnsi="Calibri"/>
                <w:color w:val="1A233A"/>
                <w:sz w:val="19"/>
              </w:rPr>
              <w:t>+2.54%</w:t>
            </w:r>
          </w:p>
        </w:tc>
      </w:tr>
      <w:tr>
        <w:tc>
          <w:tcPr>
            <w:tcW w:type="dxa" w:w="2183"/>
            <w:vAlign w:val="center"/>
            <w:shd w:val="clear" w:color="auto" w:fill="EBF4FD"/>
          </w:tcPr>
          <w:p>
            <w:pPr>
              <w:spacing w:before="60" w:after="60"/>
            </w:pPr>
            <w:r>
              <w:rPr>
                <w:rFonts w:ascii="Calibri" w:hAnsi="Calibri"/>
                <w:color w:val="1A233A"/>
                <w:sz w:val="19"/>
              </w:rPr>
              <w:t>Salario real (índice)</w:t>
            </w:r>
          </w:p>
        </w:tc>
        <w:tc>
          <w:tcPr>
            <w:tcW w:type="dxa" w:w="2183"/>
            <w:vAlign w:val="center"/>
            <w:shd w:val="clear" w:color="auto" w:fill="EBF4FD"/>
          </w:tcPr>
          <w:p>
            <w:pPr>
              <w:spacing w:before="60" w:after="60"/>
            </w:pPr>
            <w:r>
              <w:rPr>
                <w:rFonts w:ascii="Calibri" w:hAnsi="Calibri"/>
                <w:color w:val="1A233A"/>
                <w:sz w:val="19"/>
              </w:rPr>
              <w:t>73.77</w:t>
            </w:r>
          </w:p>
        </w:tc>
        <w:tc>
          <w:tcPr>
            <w:tcW w:type="dxa" w:w="2183"/>
            <w:vAlign w:val="center"/>
            <w:shd w:val="clear" w:color="auto" w:fill="EBF4FD"/>
          </w:tcPr>
          <w:p>
            <w:pPr>
              <w:spacing w:before="60" w:after="60"/>
            </w:pPr>
            <w:r>
              <w:rPr>
                <w:rFonts w:ascii="Calibri" w:hAnsi="Calibri"/>
                <w:color w:val="1A233A"/>
                <w:sz w:val="19"/>
              </w:rPr>
              <w:t>ene-2026</w:t>
            </w:r>
          </w:p>
        </w:tc>
        <w:tc>
          <w:tcPr>
            <w:tcW w:type="dxa" w:w="2183"/>
            <w:vAlign w:val="center"/>
            <w:shd w:val="clear" w:color="auto" w:fill="EBF4FD"/>
          </w:tcPr>
          <w:p>
            <w:pPr>
              <w:spacing w:before="60" w:after="60"/>
            </w:pPr>
            <w:r>
              <w:rPr>
                <w:rFonts w:ascii="Calibri" w:hAnsi="Calibri"/>
                <w:color w:val="1A233A"/>
                <w:sz w:val="19"/>
              </w:rPr>
              <w:t>—</w:t>
            </w:r>
          </w:p>
        </w:tc>
      </w:tr>
      <w:tr>
        <w:tc>
          <w:tcPr>
            <w:tcW w:type="dxa" w:w="2183"/>
            <w:vAlign w:val="center"/>
          </w:tcPr>
          <w:p>
            <w:pPr>
              <w:spacing w:before="60" w:after="60"/>
            </w:pPr>
            <w:r>
              <w:rPr>
                <w:rFonts w:ascii="Calibri" w:hAnsi="Calibri"/>
                <w:color w:val="1A233A"/>
                <w:sz w:val="19"/>
              </w:rPr>
              <w:t>Desocupación</w:t>
            </w:r>
          </w:p>
        </w:tc>
        <w:tc>
          <w:tcPr>
            <w:tcW w:type="dxa" w:w="2183"/>
            <w:vAlign w:val="center"/>
          </w:tcPr>
          <w:p>
            <w:pPr>
              <w:spacing w:before="60" w:after="60"/>
            </w:pPr>
            <w:r>
              <w:rPr>
                <w:rFonts w:ascii="Calibri" w:hAnsi="Calibri"/>
                <w:color w:val="1A233A"/>
                <w:sz w:val="19"/>
              </w:rPr>
              <w:t>7.5%</w:t>
            </w:r>
          </w:p>
        </w:tc>
        <w:tc>
          <w:tcPr>
            <w:tcW w:type="dxa" w:w="2183"/>
            <w:vAlign w:val="center"/>
          </w:tcPr>
          <w:p>
            <w:pPr>
              <w:spacing w:before="60" w:after="60"/>
            </w:pPr>
            <w:r>
              <w:rPr>
                <w:rFonts w:ascii="Calibri" w:hAnsi="Calibri"/>
                <w:color w:val="1A233A"/>
                <w:sz w:val="19"/>
              </w:rPr>
              <w:t>oct-2025 (trim.)</w:t>
            </w:r>
          </w:p>
        </w:tc>
        <w:tc>
          <w:tcPr>
            <w:tcW w:type="dxa" w:w="2183"/>
            <w:vAlign w:val="center"/>
          </w:tcPr>
          <w:p>
            <w:pPr>
              <w:spacing w:before="60" w:after="60"/>
            </w:pPr>
            <w:r>
              <w:rPr>
                <w:rFonts w:ascii="Calibri" w:hAnsi="Calibri"/>
                <w:color w:val="1A233A"/>
                <w:sz w:val="19"/>
              </w:rPr>
              <w:t>—</w:t>
            </w:r>
          </w:p>
        </w:tc>
      </w:tr>
      <w:tr>
        <w:tc>
          <w:tcPr>
            <w:tcW w:type="dxa" w:w="2183"/>
            <w:vAlign w:val="center"/>
            <w:shd w:val="clear" w:color="auto" w:fill="EBF4FD"/>
          </w:tcPr>
          <w:p>
            <w:pPr>
              <w:spacing w:before="60" w:after="60"/>
            </w:pPr>
            <w:r>
              <w:rPr>
                <w:rFonts w:ascii="Calibri" w:hAnsi="Calibri"/>
                <w:color w:val="1A233A"/>
                <w:sz w:val="19"/>
              </w:rPr>
              <w:t>ISAC (construcción)</w:t>
            </w:r>
          </w:p>
        </w:tc>
        <w:tc>
          <w:tcPr>
            <w:tcW w:type="dxa" w:w="2183"/>
            <w:vAlign w:val="center"/>
            <w:shd w:val="clear" w:color="auto" w:fill="EBF4FD"/>
          </w:tcPr>
          <w:p>
            <w:pPr>
              <w:spacing w:before="60" w:after="60"/>
            </w:pPr>
            <w:r>
              <w:rPr>
                <w:rFonts w:ascii="Calibri" w:hAnsi="Calibri"/>
                <w:color w:val="1A233A"/>
                <w:sz w:val="19"/>
              </w:rPr>
              <w:t>143.5 (desest.)</w:t>
            </w:r>
          </w:p>
        </w:tc>
        <w:tc>
          <w:tcPr>
            <w:tcW w:type="dxa" w:w="2183"/>
            <w:vAlign w:val="center"/>
            <w:shd w:val="clear" w:color="auto" w:fill="EBF4FD"/>
          </w:tcPr>
          <w:p>
            <w:pPr>
              <w:spacing w:before="60" w:after="60"/>
            </w:pPr>
            <w:r>
              <w:rPr>
                <w:rFonts w:ascii="Calibri" w:hAnsi="Calibri"/>
                <w:color w:val="1A233A"/>
                <w:sz w:val="19"/>
              </w:rPr>
              <w:t>feb-2026</w:t>
            </w:r>
          </w:p>
        </w:tc>
        <w:tc>
          <w:tcPr>
            <w:tcW w:type="dxa" w:w="2183"/>
            <w:vAlign w:val="center"/>
            <w:shd w:val="clear" w:color="auto" w:fill="EBF4FD"/>
          </w:tcPr>
          <w:p>
            <w:pPr>
              <w:spacing w:before="60" w:after="60"/>
            </w:pPr>
            <w:r>
              <w:rPr>
                <w:rFonts w:ascii="Calibri" w:hAnsi="Calibri"/>
                <w:color w:val="1A233A"/>
                <w:sz w:val="19"/>
              </w:rPr>
              <w:t>−1.35%</w:t>
            </w:r>
          </w:p>
        </w:tc>
      </w:tr>
      <w:tr>
        <w:tc>
          <w:tcPr>
            <w:tcW w:type="dxa" w:w="2183"/>
            <w:vAlign w:val="center"/>
          </w:tcPr>
          <w:p>
            <w:pPr>
              <w:spacing w:before="60" w:after="60"/>
            </w:pPr>
            <w:r>
              <w:rPr>
                <w:rFonts w:ascii="Calibri" w:hAnsi="Calibri"/>
                <w:color w:val="1A233A"/>
                <w:sz w:val="19"/>
              </w:rPr>
              <w:t>Crédito de consumo (BCRA)</w:t>
            </w:r>
          </w:p>
        </w:tc>
        <w:tc>
          <w:tcPr>
            <w:tcW w:type="dxa" w:w="2183"/>
            <w:vAlign w:val="center"/>
          </w:tcPr>
          <w:p>
            <w:pPr>
              <w:spacing w:before="60" w:after="60"/>
            </w:pPr>
            <w:r>
              <w:rPr>
                <w:rFonts w:ascii="Calibri" w:hAnsi="Calibri"/>
                <w:color w:val="1A233A"/>
                <w:sz w:val="19"/>
              </w:rPr>
              <w:t>$45.2 B</w:t>
            </w:r>
          </w:p>
        </w:tc>
        <w:tc>
          <w:tcPr>
            <w:tcW w:type="dxa" w:w="2183"/>
            <w:vAlign w:val="center"/>
          </w:tcPr>
          <w:p>
            <w:pPr>
              <w:spacing w:before="60" w:after="60"/>
            </w:pPr>
            <w:r>
              <w:rPr>
                <w:rFonts w:ascii="Calibri" w:hAnsi="Calibri"/>
                <w:color w:val="1A233A"/>
                <w:sz w:val="19"/>
              </w:rPr>
              <w:t>may-2026</w:t>
            </w:r>
          </w:p>
        </w:tc>
        <w:tc>
          <w:tcPr>
            <w:tcW w:type="dxa" w:w="2183"/>
            <w:vAlign w:val="center"/>
          </w:tcPr>
          <w:p>
            <w:pPr>
              <w:spacing w:before="60" w:after="60"/>
            </w:pPr>
            <w:r>
              <w:rPr>
                <w:rFonts w:ascii="Calibri" w:hAnsi="Calibri"/>
                <w:color w:val="1A233A"/>
                <w:sz w:val="19"/>
              </w:rPr>
              <w:t>—</w:t>
            </w:r>
          </w:p>
        </w:tc>
      </w:tr>
      <w:tr>
        <w:tc>
          <w:tcPr>
            <w:tcW w:type="dxa" w:w="2183"/>
            <w:vAlign w:val="center"/>
            <w:shd w:val="clear" w:color="auto" w:fill="EBF4FD"/>
          </w:tcPr>
          <w:p>
            <w:pPr>
              <w:spacing w:before="60" w:after="60"/>
            </w:pPr>
            <w:r>
              <w:rPr>
                <w:rFonts w:ascii="Calibri" w:hAnsi="Calibri"/>
                <w:color w:val="1A233A"/>
                <w:sz w:val="19"/>
              </w:rPr>
              <w:t>BADLAR</w:t>
            </w:r>
          </w:p>
        </w:tc>
        <w:tc>
          <w:tcPr>
            <w:tcW w:type="dxa" w:w="2183"/>
            <w:vAlign w:val="center"/>
            <w:shd w:val="clear" w:color="auto" w:fill="EBF4FD"/>
          </w:tcPr>
          <w:p>
            <w:pPr>
              <w:spacing w:before="60" w:after="60"/>
            </w:pPr>
            <w:r>
              <w:rPr>
                <w:rFonts w:ascii="Calibri" w:hAnsi="Calibri"/>
                <w:color w:val="1A233A"/>
                <w:sz w:val="19"/>
              </w:rPr>
              <w:t>21.375%</w:t>
            </w:r>
          </w:p>
        </w:tc>
        <w:tc>
          <w:tcPr>
            <w:tcW w:type="dxa" w:w="2183"/>
            <w:vAlign w:val="center"/>
            <w:shd w:val="clear" w:color="auto" w:fill="EBF4FD"/>
          </w:tcPr>
          <w:p>
            <w:pPr>
              <w:spacing w:before="60" w:after="60"/>
            </w:pPr>
            <w:r>
              <w:rPr>
                <w:rFonts w:ascii="Calibri" w:hAnsi="Calibri"/>
                <w:color w:val="1A233A"/>
                <w:sz w:val="19"/>
              </w:rPr>
              <w:t>may-2026</w:t>
            </w:r>
          </w:p>
        </w:tc>
        <w:tc>
          <w:tcPr>
            <w:tcW w:type="dxa" w:w="2183"/>
            <w:vAlign w:val="center"/>
            <w:shd w:val="clear" w:color="auto" w:fill="EBF4FD"/>
          </w:tcPr>
          <w:p>
            <w:pPr>
              <w:spacing w:before="60" w:after="60"/>
            </w:pPr>
            <w:r>
              <w:rPr>
                <w:rFonts w:ascii="Calibri" w:hAnsi="Calibri"/>
                <w:color w:val="1A233A"/>
                <w:sz w:val="19"/>
              </w:rPr>
              <w:t>—</w:t>
            </w:r>
          </w:p>
        </w:tc>
      </w:tr>
      <w:tr>
        <w:tc>
          <w:tcPr>
            <w:tcW w:type="dxa" w:w="2183"/>
            <w:vAlign w:val="center"/>
          </w:tcPr>
          <w:p>
            <w:pPr>
              <w:spacing w:before="60" w:after="60"/>
            </w:pPr>
            <w:r>
              <w:rPr>
                <w:rFonts w:ascii="Calibri" w:hAnsi="Calibri"/>
                <w:color w:val="1A233A"/>
                <w:sz w:val="19"/>
              </w:rPr>
              <w:t>ICC UTDT</w:t>
            </w:r>
          </w:p>
        </w:tc>
        <w:tc>
          <w:tcPr>
            <w:tcW w:type="dxa" w:w="2183"/>
            <w:vAlign w:val="center"/>
          </w:tcPr>
          <w:p>
            <w:pPr>
              <w:spacing w:before="60" w:after="60"/>
            </w:pPr>
            <w:r>
              <w:rPr>
                <w:rFonts w:ascii="Calibri" w:hAnsi="Calibri"/>
                <w:color w:val="1A233A"/>
                <w:sz w:val="19"/>
              </w:rPr>
              <w:t>38.1</w:t>
            </w:r>
          </w:p>
        </w:tc>
        <w:tc>
          <w:tcPr>
            <w:tcW w:type="dxa" w:w="2183"/>
            <w:vAlign w:val="center"/>
          </w:tcPr>
          <w:p>
            <w:pPr>
              <w:spacing w:before="60" w:after="60"/>
            </w:pPr>
            <w:r>
              <w:rPr>
                <w:rFonts w:ascii="Calibri" w:hAnsi="Calibri"/>
                <w:color w:val="1A233A"/>
                <w:sz w:val="19"/>
              </w:rPr>
              <w:t>abr-2026</w:t>
            </w:r>
          </w:p>
        </w:tc>
        <w:tc>
          <w:tcPr>
            <w:tcW w:type="dxa" w:w="2183"/>
            <w:vAlign w:val="center"/>
          </w:tcPr>
          <w:p>
            <w:pPr>
              <w:spacing w:before="60" w:after="60"/>
            </w:pPr>
            <w:r>
              <w:rPr>
                <w:rFonts w:ascii="Calibri" w:hAnsi="Calibri"/>
                <w:color w:val="1A233A"/>
                <w:sz w:val="19"/>
              </w:rPr>
              <w:t>−6.7%</w:t>
            </w:r>
          </w:p>
        </w:tc>
      </w:tr>
      <w:tr>
        <w:tc>
          <w:tcPr>
            <w:tcW w:type="dxa" w:w="2183"/>
            <w:vAlign w:val="center"/>
            <w:shd w:val="clear" w:color="auto" w:fill="EBF4FD"/>
          </w:tcPr>
          <w:p>
            <w:pPr>
              <w:spacing w:before="60" w:after="60"/>
            </w:pPr>
            <w:r>
              <w:rPr>
                <w:rFonts w:ascii="Calibri" w:hAnsi="Calibri"/>
                <w:color w:val="1A233A"/>
                <w:sz w:val="19"/>
              </w:rPr>
              <w:t>Patentamiento motos (CAFAM)</w:t>
            </w:r>
          </w:p>
        </w:tc>
        <w:tc>
          <w:tcPr>
            <w:tcW w:type="dxa" w:w="2183"/>
            <w:vAlign w:val="center"/>
            <w:shd w:val="clear" w:color="auto" w:fill="EBF4FD"/>
          </w:tcPr>
          <w:p>
            <w:pPr>
              <w:spacing w:before="60" w:after="60"/>
            </w:pPr>
            <w:r>
              <w:rPr>
                <w:rFonts w:ascii="Calibri" w:hAnsi="Calibri"/>
                <w:color w:val="1A233A"/>
                <w:sz w:val="19"/>
              </w:rPr>
              <w:t>14.815 unidades</w:t>
            </w:r>
          </w:p>
        </w:tc>
        <w:tc>
          <w:tcPr>
            <w:tcW w:type="dxa" w:w="2183"/>
            <w:vAlign w:val="center"/>
            <w:shd w:val="clear" w:color="auto" w:fill="EBF4FD"/>
          </w:tcPr>
          <w:p>
            <w:pPr>
              <w:spacing w:before="60" w:after="60"/>
            </w:pPr>
            <w:r>
              <w:rPr>
                <w:rFonts w:ascii="Calibri" w:hAnsi="Calibri"/>
                <w:color w:val="1A233A"/>
                <w:sz w:val="19"/>
              </w:rPr>
              <w:t>may-2026</w:t>
            </w:r>
          </w:p>
        </w:tc>
        <w:tc>
          <w:tcPr>
            <w:tcW w:type="dxa" w:w="2183"/>
            <w:vAlign w:val="center"/>
            <w:shd w:val="clear" w:color="auto" w:fill="EBF4FD"/>
          </w:tcPr>
          <w:p>
            <w:pPr>
              <w:spacing w:before="60" w:after="60"/>
            </w:pPr>
            <w:r>
              <w:rPr>
                <w:rFonts w:ascii="Calibri" w:hAnsi="Calibri"/>
                <w:color w:val="1A233A"/>
                <w:sz w:val="19"/>
              </w:rPr>
              <w:t>—</w:t>
            </w:r>
          </w:p>
        </w:tc>
      </w:tr>
    </w:tbl>
    <w:p/>
    <w:p>
      <w:pPr>
        <w:spacing w:after="120"/>
      </w:pPr>
      <w:r>
        <w:rPr>
          <w:rFonts w:ascii="Calibri" w:hAnsi="Calibri"/>
          <w:b/>
          <w:i w:val="0"/>
          <w:sz w:val="22"/>
        </w:rPr>
        <w:t>Lectura matusiana del momento:</w:t>
      </w:r>
      <w:r>
        <w:rPr>
          <w:rFonts w:ascii="Calibri" w:hAnsi="Calibri"/>
          <w:b w:val="0"/>
          <w:i w:val="0"/>
          <w:sz w:val="22"/>
        </w:rPr>
        <w:t xml:space="preserve"> El salario real está en 73.77% del nivel base (2016), mientras la inflación en alimentos supera a la general (+3.35% vs +3.38% — aún no divergente pero sostenida). El ICC UTDT cayó 6.7% en un mes y se ubica en 38, nivel de pesimismo consistente con cinturón tensionado. La construcción baja (ISAC −1.35% m/m). El crédito de consumo sube, señal de endeudamiento sostenido. </w:t>
      </w:r>
      <w:r>
        <w:rPr>
          <w:rFonts w:ascii="Calibri" w:hAnsi="Calibri"/>
          <w:b/>
          <w:i w:val="0"/>
          <w:sz w:val="22"/>
        </w:rPr>
        <w:t>Diagnóstico: cinturón tensionado, signo consistente con el −20 del panel anterior.</w:t>
      </w:r>
    </w:p>
    <w:p>
      <w:pPr>
        <w:pBdr>
          <w:bottom w:val="single" w:sz="6" w:space="4" w:color="3A8FC9"/>
        </w:pBdr>
        <w:spacing w:before="120" w:after="120"/>
      </w:pPr>
    </w:p>
    <w:p>
      <w:pPr>
        <w:spacing w:before="200" w:after="120"/>
      </w:pPr>
      <w:r>
        <w:rPr>
          <w:rFonts w:ascii="Calibri" w:hAnsi="Calibri"/>
          <w:b/>
          <w:color w:val="1E5F9E"/>
          <w:sz w:val="30"/>
        </w:rPr>
        <w:t>Proyecto de automatización</w:t>
      </w:r>
    </w:p>
    <w:p>
      <w:pPr>
        <w:spacing w:after="120"/>
      </w:pPr>
      <w:r>
        <w:rPr>
          <w:rFonts w:ascii="Calibri" w:hAnsi="Calibri"/>
          <w:b w:val="0"/>
          <w:i w:val="0"/>
          <w:sz w:val="22"/>
        </w:rPr>
        <w:t xml:space="preserve">El monitor está implementado en </w:t>
      </w:r>
      <w:r>
        <w:rPr>
          <w:rFonts w:ascii="Courier New" w:hAnsi="Courier New"/>
          <w:b w:val="0"/>
          <w:sz w:val="20"/>
        </w:rPr>
        <w:t>scripts/vida_cotidiana/</w:t>
      </w:r>
      <w:r>
        <w:rPr>
          <w:rFonts w:ascii="Calibri" w:hAnsi="Calibri"/>
          <w:b w:val="0"/>
          <w:i w:val="0"/>
          <w:sz w:val="22"/>
        </w:rPr>
        <w:t>:</w:t>
      </w:r>
    </w:p>
    <w:p>
      <w:pPr>
        <w:spacing w:after="40"/>
        <w:ind w:left="680"/>
      </w:pPr>
      <w:r>
        <w:rPr>
          <w:rFonts w:ascii="Courier New" w:hAnsi="Courier New"/>
          <w:color w:val="2D6A4F"/>
          <w:sz w:val="19"/>
        </w:rPr>
        <w:t>scripts/vida_cotidiana/</w:t>
      </w:r>
    </w:p>
    <w:p>
      <w:pPr>
        <w:spacing w:after="40"/>
        <w:ind w:left="680"/>
      </w:pPr>
      <w:r>
        <w:rPr>
          <w:rFonts w:ascii="Courier New" w:hAnsi="Courier New"/>
          <w:color w:val="2D6A4F"/>
          <w:sz w:val="19"/>
        </w:rPr>
        <w:t>├── main.py              # Orquestador — ejecutar para recolectar datos</w:t>
      </w:r>
    </w:p>
    <w:p>
      <w:pPr>
        <w:spacing w:after="40"/>
        <w:ind w:left="680"/>
      </w:pPr>
      <w:r>
        <w:rPr>
          <w:rFonts w:ascii="Courier New" w:hAnsi="Courier New"/>
          <w:color w:val="2D6A4F"/>
          <w:sz w:val="19"/>
        </w:rPr>
        <w:t>├── config.py            # Todos los IDs de series y endpoints</w:t>
      </w:r>
    </w:p>
    <w:p>
      <w:pPr>
        <w:spacing w:after="40"/>
        <w:ind w:left="680"/>
      </w:pPr>
      <w:r>
        <w:rPr>
          <w:rFonts w:ascii="Courier New" w:hAnsi="Courier New"/>
          <w:color w:val="2D6A4F"/>
          <w:sz w:val="19"/>
        </w:rPr>
        <w:t>├── requirements.txt     # requests, xlrd==1.2.0, beautifulsoup4</w:t>
      </w:r>
    </w:p>
    <w:p>
      <w:pPr>
        <w:spacing w:after="40"/>
        <w:ind w:left="680"/>
      </w:pPr>
      <w:r>
        <w:rPr>
          <w:rFonts w:ascii="Courier New" w:hAnsi="Courier New"/>
          <w:color w:val="2D6A4F"/>
          <w:sz w:val="19"/>
        </w:rPr>
        <w:t>├── collectors/</w:t>
      </w:r>
    </w:p>
    <w:p>
      <w:pPr>
        <w:spacing w:after="40"/>
        <w:ind w:left="680"/>
      </w:pPr>
      <w:r>
        <w:rPr>
          <w:rFonts w:ascii="Courier New" w:hAnsi="Courier New"/>
          <w:color w:val="2D6A4F"/>
          <w:sz w:val="19"/>
        </w:rPr>
        <w:t>│   ├── indec_series.py  # INDEC via datos.gob.ar (IPC, salarios, EPH, ISAC)</w:t>
      </w:r>
    </w:p>
    <w:p>
      <w:pPr>
        <w:spacing w:after="40"/>
        <w:ind w:left="680"/>
      </w:pPr>
      <w:r>
        <w:rPr>
          <w:rFonts w:ascii="Courier New" w:hAnsi="Courier New"/>
          <w:color w:val="2D6A4F"/>
          <w:sz w:val="19"/>
        </w:rPr>
        <w:t>│   ├── bcra.py          # BCRA API v4.0 (créditos, BADLAR)</w:t>
      </w:r>
    </w:p>
    <w:p>
      <w:pPr>
        <w:spacing w:after="40"/>
        <w:ind w:left="680"/>
      </w:pPr>
      <w:r>
        <w:rPr>
          <w:rFonts w:ascii="Courier New" w:hAnsi="Courier New"/>
          <w:color w:val="2D6A4F"/>
          <w:sz w:val="19"/>
        </w:rPr>
        <w:t>│   ├── utdt_icc.py      # ICC UTDT (scraping + XLS)</w:t>
      </w:r>
    </w:p>
    <w:p>
      <w:pPr>
        <w:spacing w:after="40"/>
        <w:ind w:left="680"/>
      </w:pPr>
      <w:r>
        <w:rPr>
          <w:rFonts w:ascii="Courier New" w:hAnsi="Courier New"/>
          <w:color w:val="2D6A4F"/>
          <w:sz w:val="19"/>
        </w:rPr>
        <w:t>│   ├── cafam.py         # Patentamiento motos (API JSON directa)</w:t>
      </w:r>
    </w:p>
    <w:p>
      <w:pPr>
        <w:spacing w:after="40"/>
        <w:ind w:left="680"/>
      </w:pPr>
      <w:r>
        <w:rPr>
          <w:rFonts w:ascii="Courier New" w:hAnsi="Courier New"/>
          <w:color w:val="2D6A4F"/>
          <w:sz w:val="19"/>
        </w:rPr>
        <w:t>│   └── manual.py        # Documentación de fuentes manuales</w:t>
      </w:r>
    </w:p>
    <w:p>
      <w:pPr>
        <w:spacing w:after="40"/>
        <w:ind w:left="680"/>
      </w:pPr>
      <w:r>
        <w:rPr>
          <w:rFonts w:ascii="Courier New" w:hAnsi="Courier New"/>
          <w:color w:val="2D6A4F"/>
          <w:sz w:val="19"/>
        </w:rPr>
        <w:t>└── data/                # JSONs con timestamp guardados automáticamente</w:t>
      </w:r>
    </w:p>
    <w:p>
      <w:pPr>
        <w:spacing w:after="120"/>
      </w:pPr>
      <w:r>
        <w:rPr>
          <w:rFonts w:ascii="Calibri" w:hAnsi="Calibri"/>
          <w:b/>
          <w:i w:val="0"/>
          <w:sz w:val="22"/>
        </w:rPr>
        <w:t>Comandos:</w:t>
      </w:r>
    </w:p>
    <w:p>
      <w:pPr>
        <w:spacing w:after="40"/>
        <w:ind w:left="680"/>
      </w:pPr>
      <w:r>
        <w:rPr>
          <w:rFonts w:ascii="Courier New" w:hAnsi="Courier New"/>
          <w:color w:val="2D6A4F"/>
          <w:sz w:val="19"/>
        </w:rPr>
        <w:t>python main.py              # Recolecta todos los indicadores automáticos</w:t>
      </w:r>
    </w:p>
    <w:p>
      <w:pPr>
        <w:spacing w:after="40"/>
        <w:ind w:left="680"/>
      </w:pPr>
      <w:r>
        <w:rPr>
          <w:rFonts w:ascii="Courier New" w:hAnsi="Courier New"/>
          <w:color w:val="2D6A4F"/>
          <w:sz w:val="19"/>
        </w:rPr>
        <w:t>python main.py --check      # Muestra estado de fuentes manuales</w:t>
      </w:r>
    </w:p>
    <w:p>
      <w:pPr>
        <w:spacing w:after="40"/>
        <w:ind w:left="680"/>
      </w:pPr>
      <w:r>
        <w:rPr>
          <w:rFonts w:ascii="Courier New" w:hAnsi="Courier New"/>
          <w:color w:val="2D6A4F"/>
          <w:sz w:val="19"/>
        </w:rPr>
        <w:t>python main.py --search IPC # Busca series en catálogo INDEC</w:t>
      </w:r>
    </w:p>
    <w:p>
      <w:pPr>
        <w:pBdr>
          <w:bottom w:val="single" w:sz="6" w:space="4" w:color="3A8FC9"/>
        </w:pBdr>
        <w:spacing w:before="120" w:after="120"/>
      </w:pPr>
    </w:p>
    <w:p>
      <w:pPr>
        <w:spacing w:before="200" w:after="120"/>
      </w:pPr>
      <w:r>
        <w:rPr>
          <w:rFonts w:ascii="Calibri" w:hAnsi="Calibri"/>
          <w:b/>
          <w:color w:val="1E5F9E"/>
          <w:sz w:val="30"/>
        </w:rPr>
        <w:t>Recomendaciones de rediseño del dashboard</w:t>
      </w:r>
    </w:p>
    <w:p>
      <w:pPr>
        <w:spacing w:after="60"/>
        <w:ind w:left="454" w:hanging="283"/>
      </w:pPr>
      <w:r>
        <w:rPr>
          <w:rFonts w:ascii="Calibri" w:hAnsi="Calibri"/>
          <w:b/>
          <w:color w:val="1A233A"/>
          <w:sz w:val="22"/>
        </w:rPr>
        <w:t xml:space="preserve">1.  </w:t>
      </w:r>
      <w:r>
        <w:rPr>
          <w:rFonts w:ascii="Calibri" w:hAnsi="Calibri"/>
          <w:b/>
          <w:i w:val="0"/>
          <w:sz w:val="22"/>
        </w:rPr>
        <w:t>Incorporar Tier 1 primero</w:t>
      </w:r>
      <w:r>
        <w:rPr>
          <w:rFonts w:ascii="Calibri" w:hAnsi="Calibri"/>
          <w:b w:val="0"/>
          <w:i w:val="0"/>
          <w:sz w:val="22"/>
        </w:rPr>
        <w:t>: IPC-Alimentos, endeudamiento familiar (BCRA), ICC UTDT son los más potentes y están disponibles hoy.</w:t>
      </w:r>
    </w:p>
    <w:p>
      <w:pPr>
        <w:spacing w:after="60"/>
        <w:ind w:left="454" w:hanging="283"/>
      </w:pPr>
      <w:r>
        <w:rPr>
          <w:rFonts w:ascii="Calibri" w:hAnsi="Calibri"/>
          <w:b/>
          <w:color w:val="1A233A"/>
          <w:sz w:val="22"/>
        </w:rPr>
        <w:t xml:space="preserve">2.  </w:t>
      </w:r>
      <w:r>
        <w:rPr>
          <w:rFonts w:ascii="Calibri" w:hAnsi="Calibri"/>
          <w:b/>
          <w:i w:val="0"/>
          <w:sz w:val="22"/>
        </w:rPr>
        <w:t>Reemplazar indicadores con fuente rota</w:t>
      </w:r>
      <w:r>
        <w:rPr>
          <w:rFonts w:ascii="Calibri" w:hAnsi="Calibri"/>
          <w:b w:val="0"/>
          <w:i w:val="0"/>
          <w:sz w:val="22"/>
        </w:rPr>
        <w:t>: mortalidad PyMEs → actividad CAME IPIP; espera salud → DEIS mortalidad infantil; tarifas → rubro vivienda del IPC.</w:t>
      </w:r>
    </w:p>
    <w:p>
      <w:pPr>
        <w:spacing w:after="60"/>
        <w:ind w:left="454" w:hanging="283"/>
      </w:pPr>
      <w:r>
        <w:rPr>
          <w:rFonts w:ascii="Calibri" w:hAnsi="Calibri"/>
          <w:b/>
          <w:color w:val="1A233A"/>
          <w:sz w:val="22"/>
        </w:rPr>
        <w:t xml:space="preserve">3.  </w:t>
      </w:r>
      <w:r>
        <w:rPr>
          <w:rFonts w:ascii="Calibri" w:hAnsi="Calibri"/>
          <w:b/>
          <w:i w:val="0"/>
          <w:sz w:val="22"/>
        </w:rPr>
        <w:t>Mantener como estructurales (anuales)</w:t>
      </w:r>
      <w:r>
        <w:rPr>
          <w:rFonts w:ascii="Calibri" w:hAnsi="Calibri"/>
          <w:b w:val="0"/>
          <w:i w:val="0"/>
          <w:sz w:val="22"/>
        </w:rPr>
        <w:t>: deserción escolar y pluriempleo — son indicadores de contexto, no de coyuntura.</w:t>
      </w:r>
    </w:p>
    <w:p>
      <w:pPr>
        <w:spacing w:after="60"/>
        <w:ind w:left="454" w:hanging="283"/>
      </w:pPr>
      <w:r>
        <w:rPr>
          <w:rFonts w:ascii="Calibri" w:hAnsi="Calibri"/>
          <w:b/>
          <w:color w:val="1A233A"/>
          <w:sz w:val="22"/>
        </w:rPr>
        <w:t xml:space="preserve">4.  </w:t>
      </w:r>
      <w:r>
        <w:rPr>
          <w:rFonts w:ascii="Calibri" w:hAnsi="Calibri"/>
          <w:b/>
          <w:i w:val="0"/>
          <w:sz w:val="22"/>
        </w:rPr>
        <w:t>Sentimiento digital</w:t>
      </w:r>
      <w:r>
        <w:rPr>
          <w:rFonts w:ascii="Calibri" w:hAnsi="Calibri"/>
          <w:b w:val="0"/>
          <w:i w:val="0"/>
          <w:sz w:val="22"/>
        </w:rPr>
        <w:t>: arrancar con Google Trends (pytrends, gratuito) como primera versión. Evaluar X API cuando haya presupuesto.</w:t>
      </w:r>
    </w:p>
    <w:p>
      <w:pPr>
        <w:spacing w:after="60"/>
        <w:ind w:left="454" w:hanging="283"/>
      </w:pPr>
      <w:r>
        <w:rPr>
          <w:rFonts w:ascii="Calibri" w:hAnsi="Calibri"/>
          <w:b/>
          <w:color w:val="1A233A"/>
          <w:sz w:val="22"/>
        </w:rPr>
        <w:t xml:space="preserve">5.  </w:t>
      </w:r>
      <w:r>
        <w:rPr>
          <w:rFonts w:ascii="Calibri" w:hAnsi="Calibri"/>
          <w:b/>
          <w:i w:val="0"/>
          <w:sz w:val="22"/>
        </w:rPr>
        <w:t>Direccionalidad</w:t>
      </w:r>
      <w:r>
        <w:rPr>
          <w:rFonts w:ascii="Calibri" w:hAnsi="Calibri"/>
          <w:b w:val="0"/>
          <w:i w:val="0"/>
          <w:sz w:val="22"/>
        </w:rPr>
        <w:t>: añadir flecha de tendencia por indicador (mejora/empeora/estable). El score estático no captura velocidad, que es el dato matusianamente decisivo para detectar puntos de quiebre antes de la crisis.</w:t>
      </w:r>
    </w:p>
    <w:sectPr w:rsidR="00FC693F" w:rsidRPr="0006063C" w:rsidSect="00034616">
      <w:pgSz w:w="11906" w:h="16838"/>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1A233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