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Preguntas clave para la reunión con el equipo técnico del Votómetro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Fundación CIGOB — Marzo 2026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Contexto: </w:t>
      </w:r>
      <w:r>
        <w:rPr>
          <w:sz w:val="22"/>
          <w:szCs w:val="22"/>
        </w:rPr>
        <w:t xml:space="preserve">El equipo revisó el documento de ingeniería inversa y metodología elaborado por Juan y coincidió en que el documento técnico es muy extenso. Se necesita simplificar las consultas para los desarrolladores. A continuación se listan las preguntas clave organizadas por eje temático, con fundamento en lo que el propio FAQ del Votómetro describe.</w:t>
      </w:r>
    </w:p>
    <w:p>
      <w:pPr>
        <w:pStyle w:val="Heading2"/>
      </w:pPr>
      <w:r>
        <w:t xml:space="preserve">1. Separar promedios de encuestas de escenarios simulados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Observación del equipo: hoy no queda claro qué número viene de las encuestas y cuál sale de la simulación Monte Carlo.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¿Pueden agregar etiquetas visibles que distingan el promedio ponderado de encuestas (dato descriptivo) de los escenarios Monte Carlo (dato inferido)?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¿Hay alguna razón de diseño para que ambos tipos de dato aparezcan en la misma zona visual, o es algo que se puede reorganizar sin romper la lógica?</w:t>
      </w:r>
    </w:p>
    <w:p>
      <w:pPr>
        <w:pStyle w:val="Heading2"/>
      </w:pPr>
      <w:r>
        <w:t xml:space="preserve">2. Falsa precisión en probabilidades a largo plazo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Observación del equipo: a 18 meses de la elección, mostrar decimales en probabilidades transmite una certeza que el modelo no tiene.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El FAQ declara sigma=6,5% y un error histórico de 8-13pp (PASO 2023). ¿Tiene sentido mostrar probabilidades con decimales (ej. “34,7%”) o sería más honesto presentar rangos o categorías cualitativas (“muy probable”, “incierto”)?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Cada recarga de página produce números distintos porque el generador aleatorio no tiene semilla fija. ¿Es intencional o es algo pendiente?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¿Se puede agregar un disclaimer visible que diga explícitamente que estas probabilidades son proyecciones a largo plazo con alto margen de incertidumbre?</w:t>
      </w:r>
    </w:p>
    <w:p>
      <w:pPr>
        <w:pStyle w:val="Heading2"/>
      </w:pPr>
      <w:r>
        <w:t xml:space="preserve">3. Corrección del ausentismo e indecisos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Observación del equipo: consultar cómo se corrige el ausentismo.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Las encuestas de la base reportan indecisos que van del 6% al 27%. ¿El modelo toma los porcentajes declarados como definitivos o hay algún modelo de distribución de indecisos?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El FAQ menciona una “corrección bayesiana de voto oculto calibrada con legislativas 2025”. ¿Cómo funciona concretamente en el código? ¿Es una función explícita o opera solo a través del factor de sesgo por consultora?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¿Se contempla algún ajuste por ausentismo diferencial (que ciertos segmentos no vayan a votar aunque declaren intención)?</w:t>
      </w:r>
    </w:p>
    <w:p>
      <w:pPr>
        <w:pStyle w:val="Heading2"/>
      </w:pPr>
      <w:r>
        <w:t xml:space="preserve">4. No mezclar intención de voto con imagen positiva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Observación del equipo: asegurar que no se mezcle la intención de voto con la imagen positiva.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La base mezcla encuestas de intención de voto por espacio (LLA como partido, ~40-43%) con encuestas por candidato (Milei como persona, hasta 54%). ¿Cómo se normaliza esa diferencia, o se promedian directamente?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La tabla de ballotage por provincia: ¿esos datos son de imagen/favorabilidad o de intención de voto real en segunda vuelta? ¿De qué fuente salen?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¿Se puede etiquetar visualmente en la interfaz qué dato es intención de voto y qué dato es imagen, para que el usuario no los confunda?</w:t>
      </w:r>
    </w:p>
    <w:p>
      <w:pPr>
        <w:pStyle w:val="Heading2"/>
      </w:pPr>
      <w:r>
        <w:t xml:space="preserve">5. Preguntas adicionales que surgen del análisis del FAQ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El ballotage está fijo en Milei 49% y Kicillof 35%. ¿De dónde salen esos números exactos? ¿Hay plan de reemplazarlos por un modelo de transferencia de votos?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El 55% de la base de datos (53 de 96 registros) son reconstrucciones desde indicadores de imagen, no encuestas publicadas. ¿Se pueden marcar visualmente distinto en la interfaz?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¿Cuál es el plan para que los datos dejen de estar hardcodeados en el HTML y se puedan actualizar sin tocar el código?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CIGOB</w:t>
    </w:r>
    <w:r>
      <w:rPr>
        <w:rFonts w:ascii="Arial" w:cs="Arial" w:eastAsia="Arial" w:hAnsi="Arial"/>
        <w:color w:val="888888"/>
        <w:sz w:val="16"/>
        <w:szCs w:val="16"/>
      </w:rPr>
      <w:t xml:space="preserve">  |  Preguntas clave para equipo técnico Votómetro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2026-03-24T14:21:47.148Z</dcterms:created>
  <dcterms:modified xsi:type="dcterms:W3CDTF">2026-03-24T14:21:47.148Z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