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A5E57" w14:textId="213130D1" w:rsidR="00F51608" w:rsidRPr="00F51608" w:rsidRDefault="00F51608" w:rsidP="00F51608">
      <w:pPr>
        <w:rPr>
          <w:b/>
          <w:bCs/>
        </w:rPr>
      </w:pPr>
      <w:r w:rsidRPr="00F51608">
        <w:rPr>
          <w:b/>
          <w:bCs/>
        </w:rPr>
        <w:t xml:space="preserve">1. Los Agregados de Poder </w:t>
      </w:r>
    </w:p>
    <w:p w14:paraId="36D21C07" w14:textId="77777777" w:rsidR="00F51608" w:rsidRPr="00F51608" w:rsidRDefault="00F51608" w:rsidP="00F51608">
      <w:r w:rsidRPr="00F51608">
        <w:t>Este grupo mide el "stock" de poder disponible para la ejecución del plan de gobierno:</w:t>
      </w:r>
    </w:p>
    <w:p w14:paraId="358A0C04" w14:textId="77777777" w:rsidR="00F51608" w:rsidRPr="00F51608" w:rsidRDefault="00F51608" w:rsidP="00F51608">
      <w:pPr>
        <w:numPr>
          <w:ilvl w:val="0"/>
          <w:numId w:val="1"/>
        </w:numPr>
      </w:pPr>
      <w:r w:rsidRPr="00F51608">
        <w:rPr>
          <w:b/>
          <w:bCs/>
        </w:rPr>
        <w:t>Tasa de Eficacia Parlamentaria (TEP):</w:t>
      </w:r>
      <w:r w:rsidRPr="00F51608">
        <w:t xml:space="preserve"> Analiza la relación entre los proyectos enviados por el Ejecutivo y las leyes efectivamente sancionadas, diferenciando entre leyes de consenso y de conflicto.</w:t>
      </w:r>
    </w:p>
    <w:p w14:paraId="0BFBB645" w14:textId="77777777" w:rsidR="00F51608" w:rsidRPr="00F51608" w:rsidRDefault="00F51608" w:rsidP="00F51608">
      <w:pPr>
        <w:numPr>
          <w:ilvl w:val="0"/>
          <w:numId w:val="1"/>
        </w:numPr>
      </w:pPr>
      <w:r w:rsidRPr="00F51608">
        <w:rPr>
          <w:b/>
          <w:bCs/>
        </w:rPr>
        <w:t>Ratio DNU:</w:t>
      </w:r>
      <w:r w:rsidRPr="00F51608">
        <w:t xml:space="preserve"> Mide la proporción de decretos de necesidad y urgencia sobre las leyes sancionadas. Un aumento en este ratio señala debilidad legislativa y mayor exposición judicial.</w:t>
      </w:r>
    </w:p>
    <w:p w14:paraId="528C2D1D" w14:textId="11010CA1" w:rsidR="00F51608" w:rsidRPr="00F51608" w:rsidRDefault="00F51608" w:rsidP="00F51608">
      <w:pPr>
        <w:numPr>
          <w:ilvl w:val="0"/>
          <w:numId w:val="1"/>
        </w:numPr>
      </w:pPr>
      <w:r w:rsidRPr="00F51608">
        <w:rPr>
          <w:b/>
          <w:bCs/>
        </w:rPr>
        <w:t>Índice de Armonía Federal (IAF):</w:t>
      </w:r>
      <w:r w:rsidRPr="00F51608">
        <w:t xml:space="preserve"> Cruza el cumplimiento de las transferencias fijadas por Hacienda  con el posicionamiento público de los gobernadores según el Ranking </w:t>
      </w:r>
      <w:proofErr w:type="spellStart"/>
      <w:r w:rsidRPr="00F51608">
        <w:t>CiGob</w:t>
      </w:r>
      <w:proofErr w:type="spellEnd"/>
      <w:r w:rsidRPr="00F51608">
        <w:t>.</w:t>
      </w:r>
    </w:p>
    <w:p w14:paraId="66AB8647" w14:textId="77777777" w:rsidR="00F51608" w:rsidRPr="00F51608" w:rsidRDefault="00F51608" w:rsidP="00F51608">
      <w:pPr>
        <w:numPr>
          <w:ilvl w:val="0"/>
          <w:numId w:val="1"/>
        </w:numPr>
      </w:pPr>
      <w:r w:rsidRPr="00F51608">
        <w:rPr>
          <w:b/>
          <w:bCs/>
        </w:rPr>
        <w:t>Tasa de Judicialización de la Gestión (TJG):</w:t>
      </w:r>
      <w:r w:rsidRPr="00F51608">
        <w:t xml:space="preserve"> Contabiliza las medidas cautelares activas contra reformas clave, como la modernización laboral o el RIGI.</w:t>
      </w:r>
    </w:p>
    <w:p w14:paraId="5C44A6B0" w14:textId="77777777" w:rsidR="00F51608" w:rsidRPr="00F51608" w:rsidRDefault="00F51608" w:rsidP="00F51608">
      <w:pPr>
        <w:rPr>
          <w:b/>
          <w:bCs/>
        </w:rPr>
      </w:pPr>
      <w:r w:rsidRPr="00F51608">
        <w:rPr>
          <w:b/>
          <w:bCs/>
        </w:rPr>
        <w:t>2. Las Palancas de la Gobernanza (Maniobra y Relato)</w:t>
      </w:r>
    </w:p>
    <w:p w14:paraId="50BB82FB" w14:textId="77777777" w:rsidR="00F51608" w:rsidRPr="00F51608" w:rsidRDefault="00F51608" w:rsidP="00F51608">
      <w:r w:rsidRPr="00F51608">
        <w:t>Mide las herramientas activas para mantener la iniciativa política:</w:t>
      </w:r>
    </w:p>
    <w:p w14:paraId="449CB73E" w14:textId="2A23A2A7" w:rsidR="00F51608" w:rsidRPr="00F51608" w:rsidRDefault="00F51608" w:rsidP="00F51608">
      <w:pPr>
        <w:numPr>
          <w:ilvl w:val="0"/>
          <w:numId w:val="2"/>
        </w:numPr>
      </w:pPr>
      <w:r w:rsidRPr="00F51608">
        <w:rPr>
          <w:b/>
          <w:bCs/>
        </w:rPr>
        <w:t>Índice de Iniciativa de Agenda (IIA)</w:t>
      </w:r>
    </w:p>
    <w:p w14:paraId="4B2E9A1E" w14:textId="77777777" w:rsidR="00F51608" w:rsidRPr="00F51608" w:rsidRDefault="00F51608" w:rsidP="00F51608">
      <w:pPr>
        <w:numPr>
          <w:ilvl w:val="0"/>
          <w:numId w:val="2"/>
        </w:numPr>
      </w:pPr>
      <w:r w:rsidRPr="00F51608">
        <w:rPr>
          <w:b/>
          <w:bCs/>
        </w:rPr>
        <w:t>Análisis de Sentimiento:</w:t>
      </w:r>
      <w:r w:rsidRPr="00F51608">
        <w:t xml:space="preserve"> Determina si los temas de conversación son impuestos por el gobierno o por la oposición.</w:t>
      </w:r>
    </w:p>
    <w:p w14:paraId="5939618C" w14:textId="2B1CF612" w:rsidR="00F51608" w:rsidRPr="00F51608" w:rsidRDefault="00F51608" w:rsidP="00E62746">
      <w:pPr>
        <w:numPr>
          <w:ilvl w:val="0"/>
          <w:numId w:val="2"/>
        </w:numPr>
      </w:pPr>
      <w:r w:rsidRPr="00F51608">
        <w:rPr>
          <w:b/>
          <w:bCs/>
        </w:rPr>
        <w:t>Índice de Tensión Social (ITS):</w:t>
      </w:r>
      <w:r w:rsidRPr="00F51608">
        <w:t xml:space="preserve"> Mide la frecuencia de paros, movilizaciones y cortes de vías de transporte.</w:t>
      </w:r>
    </w:p>
    <w:p w14:paraId="0960123A" w14:textId="77777777" w:rsidR="00F51608" w:rsidRPr="00F51608" w:rsidRDefault="00F51608" w:rsidP="00F51608">
      <w:pPr>
        <w:numPr>
          <w:ilvl w:val="0"/>
          <w:numId w:val="2"/>
        </w:numPr>
      </w:pPr>
      <w:r w:rsidRPr="00F51608">
        <w:rPr>
          <w:b/>
          <w:bCs/>
        </w:rPr>
        <w:t>Tasa de Compromiso del RIGI/RIMI:</w:t>
      </w:r>
      <w:r w:rsidRPr="00F51608">
        <w:t xml:space="preserve"> Monitorea el monto de inversión y la cantidad de actores (provincias, sindicatos, empresas) que firman convenios de adhesión.</w:t>
      </w:r>
    </w:p>
    <w:p w14:paraId="2073C817" w14:textId="77777777" w:rsidR="0091321E" w:rsidRDefault="0091321E"/>
    <w:sectPr w:rsidR="0091321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14CC3"/>
    <w:multiLevelType w:val="multilevel"/>
    <w:tmpl w:val="44F6E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1A13E9"/>
    <w:multiLevelType w:val="multilevel"/>
    <w:tmpl w:val="EE2A5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8746361">
    <w:abstractNumId w:val="0"/>
  </w:num>
  <w:num w:numId="2" w16cid:durableId="14750207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608"/>
    <w:rsid w:val="0010103C"/>
    <w:rsid w:val="003F6D5A"/>
    <w:rsid w:val="00754802"/>
    <w:rsid w:val="0091321E"/>
    <w:rsid w:val="00E62746"/>
    <w:rsid w:val="00F51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A74869"/>
  <w15:chartTrackingRefBased/>
  <w15:docId w15:val="{559F692B-9D97-104D-B0BD-EBF053482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516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516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516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516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516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516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516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516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516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516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516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516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5160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5160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516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5160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516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516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516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516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516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516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516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5160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5160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5160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516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5160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516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202</Words>
  <Characters>1154</Characters>
  <Application>Microsoft Office Word</Application>
  <DocSecurity>0</DocSecurity>
  <Lines>23</Lines>
  <Paragraphs>12</Paragraphs>
  <ScaleCrop>false</ScaleCrop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babino</dc:creator>
  <cp:keywords/>
  <dc:description/>
  <cp:lastModifiedBy>luis babino</cp:lastModifiedBy>
  <cp:revision>2</cp:revision>
  <dcterms:created xsi:type="dcterms:W3CDTF">2026-05-13T20:25:00Z</dcterms:created>
  <dcterms:modified xsi:type="dcterms:W3CDTF">2026-05-13T20:35:00Z</dcterms:modified>
</cp:coreProperties>
</file>